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04" w:rsidRDefault="00731304" w:rsidP="0003317A">
      <w:pPr>
        <w:spacing w:after="0"/>
        <w:jc w:val="both"/>
        <w:rPr>
          <w:rFonts w:ascii="Arial" w:hAnsi="Arial" w:cs="Arial"/>
          <w:b/>
          <w:bCs/>
          <w:sz w:val="28"/>
          <w:szCs w:val="28"/>
        </w:rPr>
      </w:pPr>
      <w:bookmarkStart w:id="0" w:name="_Toc486838045"/>
    </w:p>
    <w:p w:rsidR="00020DB1" w:rsidRDefault="00020DB1" w:rsidP="0003317A">
      <w:pPr>
        <w:spacing w:after="0"/>
        <w:jc w:val="both"/>
        <w:rPr>
          <w:rFonts w:ascii="Arial" w:hAnsi="Arial" w:cs="Arial"/>
          <w:b/>
          <w:bCs/>
          <w:sz w:val="28"/>
          <w:szCs w:val="28"/>
        </w:rPr>
      </w:pPr>
      <w:r>
        <w:rPr>
          <w:rFonts w:ascii="Arial" w:hAnsi="Arial" w:cs="Arial"/>
          <w:b/>
          <w:bCs/>
          <w:sz w:val="28"/>
          <w:szCs w:val="28"/>
        </w:rPr>
        <w:t>Primeros resultados:</w:t>
      </w:r>
    </w:p>
    <w:p w:rsidR="00C442D5" w:rsidRPr="0003317A" w:rsidRDefault="00C442D5" w:rsidP="0003317A">
      <w:pPr>
        <w:spacing w:after="0"/>
        <w:jc w:val="both"/>
        <w:rPr>
          <w:rFonts w:ascii="Arial" w:hAnsi="Arial" w:cs="Arial"/>
          <w:sz w:val="28"/>
          <w:szCs w:val="28"/>
        </w:rPr>
      </w:pPr>
      <w:r w:rsidRPr="0003317A">
        <w:rPr>
          <w:rFonts w:ascii="Arial" w:hAnsi="Arial" w:cs="Arial"/>
          <w:b/>
          <w:bCs/>
          <w:sz w:val="28"/>
          <w:szCs w:val="28"/>
        </w:rPr>
        <w:t xml:space="preserve">Índice de Transparencia de Canarias </w:t>
      </w:r>
      <w:r w:rsidR="00020DB1">
        <w:rPr>
          <w:rFonts w:ascii="Arial" w:hAnsi="Arial" w:cs="Arial"/>
          <w:b/>
          <w:bCs/>
          <w:sz w:val="28"/>
          <w:szCs w:val="28"/>
        </w:rPr>
        <w:t xml:space="preserve">2016 </w:t>
      </w:r>
      <w:r w:rsidRPr="0003317A">
        <w:rPr>
          <w:rFonts w:ascii="Arial" w:hAnsi="Arial" w:cs="Arial"/>
          <w:b/>
          <w:bCs/>
          <w:sz w:val="28"/>
          <w:szCs w:val="28"/>
        </w:rPr>
        <w:t>(ITCanarias)</w:t>
      </w:r>
    </w:p>
    <w:p w:rsidR="00C442D5" w:rsidRPr="00020DB1" w:rsidRDefault="00C442D5" w:rsidP="0003317A">
      <w:pPr>
        <w:spacing w:after="0"/>
        <w:jc w:val="both"/>
        <w:rPr>
          <w:rFonts w:ascii="Arial" w:hAnsi="Arial" w:cs="Arial"/>
          <w:sz w:val="24"/>
          <w:szCs w:val="24"/>
        </w:rPr>
      </w:pPr>
      <w:r w:rsidRPr="00020DB1">
        <w:rPr>
          <w:rFonts w:ascii="Arial" w:hAnsi="Arial" w:cs="Arial"/>
          <w:b/>
          <w:bCs/>
          <w:sz w:val="24"/>
          <w:szCs w:val="24"/>
        </w:rPr>
        <w:t>Gobierno de Canarias. Cabildos. Ayuntamientos.</w:t>
      </w:r>
    </w:p>
    <w:p w:rsidR="00C442D5" w:rsidRDefault="00C442D5" w:rsidP="00A83349">
      <w:pPr>
        <w:pStyle w:val="Epgrafe"/>
        <w:keepNext/>
        <w:jc w:val="center"/>
      </w:pPr>
    </w:p>
    <w:p w:rsidR="00C442D5" w:rsidRDefault="00D42B8A" w:rsidP="00731304">
      <w:pPr>
        <w:jc w:val="both"/>
        <w:rPr>
          <w:rFonts w:ascii="Arial" w:hAnsi="Arial" w:cs="Arial"/>
          <w:sz w:val="24"/>
          <w:szCs w:val="24"/>
        </w:rPr>
      </w:pPr>
      <w:r w:rsidRPr="00731304">
        <w:rPr>
          <w:rFonts w:ascii="Arial" w:hAnsi="Arial" w:cs="Arial"/>
          <w:sz w:val="24"/>
          <w:szCs w:val="24"/>
        </w:rPr>
        <w:t xml:space="preserve">En el conjunto de </w:t>
      </w:r>
      <w:r w:rsidR="006B3E9C" w:rsidRPr="00731304">
        <w:rPr>
          <w:rFonts w:ascii="Arial" w:hAnsi="Arial" w:cs="Arial"/>
          <w:sz w:val="24"/>
          <w:szCs w:val="24"/>
        </w:rPr>
        <w:t>estos</w:t>
      </w:r>
      <w:r w:rsidRPr="00731304">
        <w:rPr>
          <w:rFonts w:ascii="Arial" w:hAnsi="Arial" w:cs="Arial"/>
          <w:sz w:val="24"/>
          <w:szCs w:val="24"/>
        </w:rPr>
        <w:t xml:space="preserve"> cuatro cuadros se sintetizan las puntuaciones finales  de las 96 instituciones canarias analizadas en el </w:t>
      </w:r>
      <w:r w:rsidR="006B3E9C" w:rsidRPr="00731304">
        <w:rPr>
          <w:rFonts w:ascii="Arial" w:hAnsi="Arial" w:cs="Arial"/>
          <w:sz w:val="24"/>
          <w:szCs w:val="24"/>
        </w:rPr>
        <w:t>Índice</w:t>
      </w:r>
      <w:r w:rsidRPr="00731304">
        <w:rPr>
          <w:rFonts w:ascii="Arial" w:hAnsi="Arial" w:cs="Arial"/>
          <w:sz w:val="24"/>
          <w:szCs w:val="24"/>
        </w:rPr>
        <w:t xml:space="preserve"> de Transparencia de Canarias (ITCanarias) del año 2016, elaborado por el Comisionado de Transparencia de Canarias</w:t>
      </w:r>
      <w:r w:rsidR="00731304" w:rsidRPr="00731304">
        <w:rPr>
          <w:rFonts w:ascii="Arial" w:hAnsi="Arial" w:cs="Arial"/>
          <w:sz w:val="24"/>
          <w:szCs w:val="24"/>
        </w:rPr>
        <w:t>.</w:t>
      </w:r>
      <w:r w:rsidRPr="00731304">
        <w:rPr>
          <w:rFonts w:ascii="Arial" w:hAnsi="Arial" w:cs="Arial"/>
          <w:sz w:val="24"/>
          <w:szCs w:val="24"/>
        </w:rPr>
        <w:t xml:space="preserve">   Al final se incluye una nota metodológica sobre la forma en que se ha calcul</w:t>
      </w:r>
      <w:r w:rsidR="00731304" w:rsidRPr="00731304">
        <w:rPr>
          <w:rFonts w:ascii="Arial" w:hAnsi="Arial" w:cs="Arial"/>
          <w:sz w:val="24"/>
          <w:szCs w:val="24"/>
        </w:rPr>
        <w:t>a</w:t>
      </w:r>
      <w:r w:rsidRPr="00731304">
        <w:rPr>
          <w:rFonts w:ascii="Arial" w:hAnsi="Arial" w:cs="Arial"/>
          <w:sz w:val="24"/>
          <w:szCs w:val="24"/>
        </w:rPr>
        <w:t xml:space="preserve">do el </w:t>
      </w:r>
      <w:r w:rsidR="006B3E9C" w:rsidRPr="00731304">
        <w:rPr>
          <w:rFonts w:ascii="Arial" w:hAnsi="Arial" w:cs="Arial"/>
          <w:sz w:val="24"/>
          <w:szCs w:val="24"/>
        </w:rPr>
        <w:t>Índice</w:t>
      </w:r>
      <w:r w:rsidRPr="00731304">
        <w:rPr>
          <w:rFonts w:ascii="Arial" w:hAnsi="Arial" w:cs="Arial"/>
          <w:sz w:val="24"/>
          <w:szCs w:val="24"/>
        </w:rPr>
        <w:t xml:space="preserve">. </w:t>
      </w:r>
    </w:p>
    <w:p w:rsidR="00C442D5" w:rsidRDefault="00C442D5" w:rsidP="00C442D5">
      <w:pPr>
        <w:pStyle w:val="Epgrafe"/>
        <w:keepNext/>
        <w:jc w:val="center"/>
      </w:pPr>
      <w:bookmarkStart w:id="1" w:name="_Toc486838042"/>
      <w:r>
        <w:t xml:space="preserve">Cuadro </w:t>
      </w:r>
      <w:fldSimple w:instr=" SEQ Cuadro \* ARABIC ">
        <w:r>
          <w:rPr>
            <w:noProof/>
          </w:rPr>
          <w:t>3</w:t>
        </w:r>
      </w:fldSimple>
      <w:r>
        <w:t xml:space="preserve">. </w:t>
      </w:r>
      <w:r w:rsidRPr="003C7208">
        <w:t>Comunidad Autónoma de Canarias. Cálculo del indicador</w:t>
      </w:r>
      <w:bookmarkEnd w:id="1"/>
    </w:p>
    <w:tbl>
      <w:tblPr>
        <w:tblW w:w="9226" w:type="dxa"/>
        <w:jc w:val="center"/>
        <w:tblInd w:w="58" w:type="dxa"/>
        <w:tblCellMar>
          <w:left w:w="70" w:type="dxa"/>
          <w:right w:w="70" w:type="dxa"/>
        </w:tblCellMar>
        <w:tblLook w:val="04A0"/>
      </w:tblPr>
      <w:tblGrid>
        <w:gridCol w:w="2031"/>
        <w:gridCol w:w="1859"/>
        <w:gridCol w:w="602"/>
        <w:gridCol w:w="1099"/>
        <w:gridCol w:w="604"/>
        <w:gridCol w:w="1386"/>
        <w:gridCol w:w="638"/>
        <w:gridCol w:w="1007"/>
      </w:tblGrid>
      <w:tr w:rsidR="00C442D5" w:rsidRPr="00AB65C4" w:rsidTr="00305C14">
        <w:trPr>
          <w:trHeight w:val="611"/>
          <w:jc w:val="center"/>
        </w:trPr>
        <w:tc>
          <w:tcPr>
            <w:tcW w:w="2031"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Entidad</w:t>
            </w:r>
          </w:p>
        </w:tc>
        <w:tc>
          <w:tcPr>
            <w:tcW w:w="1859" w:type="dxa"/>
            <w:tcBorders>
              <w:top w:val="single" w:sz="4" w:space="0" w:color="auto"/>
              <w:left w:val="nil"/>
              <w:bottom w:val="single" w:sz="4" w:space="0" w:color="auto"/>
              <w:right w:val="single" w:sz="4" w:space="0" w:color="auto"/>
            </w:tcBorders>
            <w:shd w:val="clear" w:color="000000" w:fill="B6DDE8"/>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Suma de criterios de</w:t>
            </w:r>
            <w:r>
              <w:rPr>
                <w:rFonts w:ascii="Calibri" w:eastAsia="Times New Roman" w:hAnsi="Calibri" w:cs="Times New Roman"/>
                <w:color w:val="000000"/>
                <w:sz w:val="16"/>
                <w:szCs w:val="16"/>
                <w:lang w:eastAsia="es-ES"/>
              </w:rPr>
              <w:t>l cuestionario web</w:t>
            </w:r>
          </w:p>
        </w:tc>
        <w:tc>
          <w:tcPr>
            <w:tcW w:w="0" w:type="auto"/>
            <w:tcBorders>
              <w:top w:val="single" w:sz="4" w:space="0" w:color="auto"/>
              <w:left w:val="nil"/>
              <w:bottom w:val="single" w:sz="4" w:space="0" w:color="auto"/>
              <w:right w:val="single" w:sz="4" w:space="0" w:color="auto"/>
            </w:tcBorders>
            <w:shd w:val="clear" w:color="000000" w:fill="B6DDE8"/>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VF (20%)</w:t>
            </w:r>
          </w:p>
        </w:tc>
        <w:tc>
          <w:tcPr>
            <w:tcW w:w="0" w:type="auto"/>
            <w:tcBorders>
              <w:top w:val="single" w:sz="4" w:space="0" w:color="auto"/>
              <w:left w:val="nil"/>
              <w:bottom w:val="single" w:sz="4" w:space="0" w:color="auto"/>
              <w:right w:val="single" w:sz="4" w:space="0" w:color="auto"/>
            </w:tcBorders>
            <w:shd w:val="clear" w:color="DBE5F1" w:fill="FCD5B4"/>
            <w:vAlign w:val="center"/>
            <w:hideMark/>
          </w:tcPr>
          <w:p w:rsidR="00C442D5" w:rsidRPr="00AB65C4" w:rsidRDefault="00C442D5"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Valoración del Excel</w:t>
            </w:r>
          </w:p>
        </w:tc>
        <w:tc>
          <w:tcPr>
            <w:tcW w:w="0" w:type="auto"/>
            <w:tcBorders>
              <w:top w:val="single" w:sz="4" w:space="0" w:color="auto"/>
              <w:left w:val="nil"/>
              <w:bottom w:val="single" w:sz="4" w:space="0" w:color="auto"/>
              <w:right w:val="single" w:sz="4" w:space="0" w:color="auto"/>
            </w:tcBorders>
            <w:shd w:val="clear" w:color="DBE5F1" w:fill="FCD5B4"/>
            <w:vAlign w:val="center"/>
            <w:hideMark/>
          </w:tcPr>
          <w:p w:rsidR="00C442D5" w:rsidRPr="00AB65C4" w:rsidRDefault="00C442D5"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VE (30%)</w:t>
            </w:r>
          </w:p>
        </w:tc>
        <w:tc>
          <w:tcPr>
            <w:tcW w:w="0" w:type="auto"/>
            <w:tcBorders>
              <w:top w:val="single" w:sz="4" w:space="0" w:color="auto"/>
              <w:left w:val="nil"/>
              <w:bottom w:val="single" w:sz="4" w:space="0" w:color="auto"/>
              <w:right w:val="single" w:sz="4" w:space="0" w:color="auto"/>
            </w:tcBorders>
            <w:shd w:val="clear" w:color="DBE5F1" w:fill="DBE5F1"/>
            <w:vAlign w:val="center"/>
            <w:hideMark/>
          </w:tcPr>
          <w:p w:rsidR="00C442D5" w:rsidRPr="00AB65C4" w:rsidRDefault="00C442D5"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Comprobación del Portal</w:t>
            </w:r>
          </w:p>
        </w:tc>
        <w:tc>
          <w:tcPr>
            <w:tcW w:w="0" w:type="auto"/>
            <w:tcBorders>
              <w:top w:val="single" w:sz="4" w:space="0" w:color="auto"/>
              <w:left w:val="nil"/>
              <w:bottom w:val="single" w:sz="4" w:space="0" w:color="auto"/>
              <w:right w:val="single" w:sz="4" w:space="0" w:color="auto"/>
            </w:tcBorders>
            <w:shd w:val="clear" w:color="DBE5F1" w:fill="DBE5F1"/>
            <w:vAlign w:val="center"/>
            <w:hideMark/>
          </w:tcPr>
          <w:p w:rsidR="00C442D5" w:rsidRPr="00AB65C4" w:rsidRDefault="00C442D5"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CPT (50%)</w:t>
            </w:r>
          </w:p>
        </w:tc>
        <w:tc>
          <w:tcPr>
            <w:tcW w:w="0" w:type="auto"/>
            <w:tcBorders>
              <w:top w:val="single" w:sz="4" w:space="0" w:color="auto"/>
              <w:left w:val="nil"/>
              <w:bottom w:val="single" w:sz="4" w:space="0" w:color="auto"/>
              <w:right w:val="single" w:sz="4" w:space="0" w:color="auto"/>
            </w:tcBorders>
            <w:shd w:val="clear" w:color="DBE5F1" w:fill="D7E4BC"/>
            <w:vAlign w:val="center"/>
            <w:hideMark/>
          </w:tcPr>
          <w:p w:rsidR="00C442D5" w:rsidRPr="00AB65C4" w:rsidRDefault="00C442D5"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Valoración total</w:t>
            </w:r>
          </w:p>
        </w:tc>
      </w:tr>
      <w:tr w:rsidR="00C442D5" w:rsidRPr="00AB65C4" w:rsidTr="00305C14">
        <w:trPr>
          <w:trHeight w:val="477"/>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Comunidad Autónoma de Canarias</w:t>
            </w:r>
          </w:p>
        </w:tc>
        <w:tc>
          <w:tcPr>
            <w:tcW w:w="1859" w:type="dxa"/>
            <w:tcBorders>
              <w:top w:val="nil"/>
              <w:left w:val="nil"/>
              <w:bottom w:val="single" w:sz="4" w:space="0" w:color="auto"/>
              <w:right w:val="single" w:sz="4" w:space="0" w:color="auto"/>
            </w:tcBorders>
            <w:shd w:val="clear" w:color="auto" w:fill="auto"/>
            <w:noWrap/>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7</w:t>
            </w:r>
          </w:p>
        </w:tc>
        <w:tc>
          <w:tcPr>
            <w:tcW w:w="0" w:type="auto"/>
            <w:tcBorders>
              <w:top w:val="nil"/>
              <w:left w:val="nil"/>
              <w:bottom w:val="single" w:sz="4" w:space="0" w:color="auto"/>
              <w:right w:val="single" w:sz="4" w:space="0" w:color="auto"/>
            </w:tcBorders>
            <w:shd w:val="clear" w:color="auto" w:fill="auto"/>
            <w:noWrap/>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w:t>
            </w:r>
          </w:p>
        </w:tc>
        <w:tc>
          <w:tcPr>
            <w:tcW w:w="0" w:type="auto"/>
            <w:tcBorders>
              <w:top w:val="nil"/>
              <w:left w:val="nil"/>
              <w:bottom w:val="single" w:sz="4" w:space="0" w:color="auto"/>
              <w:right w:val="single" w:sz="4" w:space="0" w:color="auto"/>
            </w:tcBorders>
            <w:shd w:val="clear" w:color="auto" w:fill="auto"/>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60,47%</w:t>
            </w:r>
          </w:p>
        </w:tc>
        <w:tc>
          <w:tcPr>
            <w:tcW w:w="0" w:type="auto"/>
            <w:tcBorders>
              <w:top w:val="nil"/>
              <w:left w:val="nil"/>
              <w:bottom w:val="single" w:sz="4" w:space="0" w:color="auto"/>
              <w:right w:val="single" w:sz="4" w:space="0" w:color="auto"/>
            </w:tcBorders>
            <w:shd w:val="clear" w:color="auto" w:fill="auto"/>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1,81</w:t>
            </w:r>
          </w:p>
        </w:tc>
        <w:tc>
          <w:tcPr>
            <w:tcW w:w="0" w:type="auto"/>
            <w:tcBorders>
              <w:top w:val="nil"/>
              <w:left w:val="nil"/>
              <w:bottom w:val="single" w:sz="4" w:space="0" w:color="auto"/>
              <w:right w:val="single" w:sz="4" w:space="0" w:color="auto"/>
            </w:tcBorders>
            <w:shd w:val="clear" w:color="auto" w:fill="auto"/>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64,54%</w:t>
            </w:r>
          </w:p>
        </w:tc>
        <w:tc>
          <w:tcPr>
            <w:tcW w:w="0" w:type="auto"/>
            <w:tcBorders>
              <w:top w:val="nil"/>
              <w:left w:val="nil"/>
              <w:bottom w:val="single" w:sz="4" w:space="0" w:color="auto"/>
              <w:right w:val="single" w:sz="4" w:space="0" w:color="auto"/>
            </w:tcBorders>
            <w:shd w:val="clear" w:color="auto" w:fill="auto"/>
            <w:noWrap/>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3,87</w:t>
            </w:r>
          </w:p>
        </w:tc>
        <w:tc>
          <w:tcPr>
            <w:tcW w:w="0" w:type="auto"/>
            <w:tcBorders>
              <w:top w:val="nil"/>
              <w:left w:val="nil"/>
              <w:bottom w:val="single" w:sz="4" w:space="0" w:color="auto"/>
              <w:right w:val="single" w:sz="4" w:space="0" w:color="auto"/>
            </w:tcBorders>
            <w:shd w:val="clear" w:color="auto" w:fill="auto"/>
            <w:noWrap/>
            <w:vAlign w:val="center"/>
            <w:hideMark/>
          </w:tcPr>
          <w:p w:rsidR="00C442D5" w:rsidRPr="00AB65C4" w:rsidRDefault="00C442D5"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7,69</w:t>
            </w:r>
          </w:p>
        </w:tc>
      </w:tr>
    </w:tbl>
    <w:p w:rsidR="00C442D5" w:rsidRDefault="00C442D5" w:rsidP="00A83349">
      <w:pPr>
        <w:pStyle w:val="Epgrafe"/>
        <w:keepNext/>
        <w:jc w:val="center"/>
      </w:pPr>
    </w:p>
    <w:p w:rsidR="00A83349" w:rsidRDefault="00A83349" w:rsidP="00A83349">
      <w:pPr>
        <w:pStyle w:val="Epgrafe"/>
        <w:keepNext/>
        <w:jc w:val="center"/>
      </w:pPr>
      <w:r>
        <w:t xml:space="preserve">Cuadro </w:t>
      </w:r>
      <w:fldSimple w:instr=" SEQ Cuadro \* ARABIC ">
        <w:r>
          <w:rPr>
            <w:noProof/>
          </w:rPr>
          <w:t>6</w:t>
        </w:r>
      </w:fldSimple>
      <w:r>
        <w:t xml:space="preserve">. </w:t>
      </w:r>
      <w:r w:rsidRPr="000D67A2">
        <w:t>Cabildos insulares. Cálculo de indicadores</w:t>
      </w:r>
      <w:bookmarkEnd w:id="0"/>
    </w:p>
    <w:tbl>
      <w:tblPr>
        <w:tblW w:w="0" w:type="auto"/>
        <w:jc w:val="center"/>
        <w:tblCellMar>
          <w:left w:w="70" w:type="dxa"/>
          <w:right w:w="70" w:type="dxa"/>
        </w:tblCellMar>
        <w:tblLook w:val="04A0"/>
      </w:tblPr>
      <w:tblGrid>
        <w:gridCol w:w="1134"/>
        <w:gridCol w:w="1291"/>
        <w:gridCol w:w="679"/>
        <w:gridCol w:w="1330"/>
        <w:gridCol w:w="682"/>
        <w:gridCol w:w="1640"/>
        <w:gridCol w:w="746"/>
        <w:gridCol w:w="1142"/>
      </w:tblGrid>
      <w:tr w:rsidR="00A83349" w:rsidRPr="00AB65C4" w:rsidTr="00305C14">
        <w:trPr>
          <w:trHeight w:val="521"/>
          <w:tblHeader/>
          <w:jc w:val="center"/>
        </w:trPr>
        <w:tc>
          <w:tcPr>
            <w:tcW w:w="1133"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Entidad</w:t>
            </w:r>
          </w:p>
        </w:tc>
        <w:tc>
          <w:tcPr>
            <w:tcW w:w="1291" w:type="dxa"/>
            <w:tcBorders>
              <w:top w:val="single" w:sz="4" w:space="0" w:color="auto"/>
              <w:left w:val="nil"/>
              <w:bottom w:val="single" w:sz="4" w:space="0" w:color="auto"/>
              <w:right w:val="single" w:sz="4" w:space="0" w:color="auto"/>
            </w:tcBorders>
            <w:shd w:val="clear" w:color="000000" w:fill="B6DDE8"/>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Suma de criterios de</w:t>
            </w:r>
            <w:r>
              <w:rPr>
                <w:rFonts w:ascii="Calibri" w:eastAsia="Times New Roman" w:hAnsi="Calibri" w:cs="Times New Roman"/>
                <w:color w:val="000000"/>
                <w:sz w:val="16"/>
                <w:szCs w:val="16"/>
                <w:lang w:eastAsia="es-ES"/>
              </w:rPr>
              <w:t>l cuestionario web</w:t>
            </w:r>
          </w:p>
        </w:tc>
        <w:tc>
          <w:tcPr>
            <w:tcW w:w="0" w:type="auto"/>
            <w:tcBorders>
              <w:top w:val="single" w:sz="4" w:space="0" w:color="auto"/>
              <w:left w:val="nil"/>
              <w:bottom w:val="single" w:sz="4" w:space="0" w:color="auto"/>
              <w:right w:val="single" w:sz="4" w:space="0" w:color="auto"/>
            </w:tcBorders>
            <w:shd w:val="clear" w:color="000000" w:fill="B6DDE8"/>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VF (20%)</w:t>
            </w:r>
          </w:p>
        </w:tc>
        <w:tc>
          <w:tcPr>
            <w:tcW w:w="0" w:type="auto"/>
            <w:tcBorders>
              <w:top w:val="single" w:sz="4" w:space="0" w:color="auto"/>
              <w:left w:val="nil"/>
              <w:bottom w:val="single" w:sz="4" w:space="0" w:color="auto"/>
              <w:right w:val="single" w:sz="4" w:space="0" w:color="auto"/>
            </w:tcBorders>
            <w:shd w:val="clear" w:color="000000" w:fill="FCD5B4"/>
            <w:vAlign w:val="center"/>
            <w:hideMark/>
          </w:tcPr>
          <w:p w:rsidR="00A83349" w:rsidRPr="00AB65C4" w:rsidRDefault="00A83349"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Valoración del Excel</w:t>
            </w:r>
          </w:p>
        </w:tc>
        <w:tc>
          <w:tcPr>
            <w:tcW w:w="0" w:type="auto"/>
            <w:tcBorders>
              <w:top w:val="single" w:sz="4" w:space="0" w:color="auto"/>
              <w:left w:val="nil"/>
              <w:bottom w:val="single" w:sz="4" w:space="0" w:color="auto"/>
              <w:right w:val="single" w:sz="4" w:space="0" w:color="auto"/>
            </w:tcBorders>
            <w:shd w:val="clear" w:color="000000" w:fill="FCD5B4"/>
            <w:vAlign w:val="center"/>
            <w:hideMark/>
          </w:tcPr>
          <w:p w:rsidR="00A83349" w:rsidRPr="00AB65C4" w:rsidRDefault="00A83349"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VE (30%)</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A83349" w:rsidRPr="00AB65C4" w:rsidRDefault="00A83349"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Comprobación del Portal</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A83349" w:rsidRPr="00AB65C4" w:rsidRDefault="00A83349" w:rsidP="00305C14">
            <w:pPr>
              <w:spacing w:after="0" w:line="240" w:lineRule="auto"/>
              <w:jc w:val="center"/>
              <w:rPr>
                <w:rFonts w:ascii="Calibri" w:eastAsia="Times New Roman" w:hAnsi="Calibri" w:cs="Times New Roman"/>
                <w:bCs/>
                <w:color w:val="000000"/>
                <w:sz w:val="16"/>
                <w:szCs w:val="16"/>
                <w:lang w:eastAsia="es-ES"/>
              </w:rPr>
            </w:pPr>
            <w:r w:rsidRPr="00AB65C4">
              <w:rPr>
                <w:rFonts w:ascii="Calibri" w:eastAsia="Times New Roman" w:hAnsi="Calibri" w:cs="Times New Roman"/>
                <w:bCs/>
                <w:color w:val="000000"/>
                <w:sz w:val="16"/>
                <w:szCs w:val="16"/>
                <w:lang w:eastAsia="es-ES"/>
              </w:rPr>
              <w:t>CPT (50%)</w:t>
            </w:r>
          </w:p>
        </w:tc>
        <w:tc>
          <w:tcPr>
            <w:tcW w:w="0" w:type="auto"/>
            <w:tcBorders>
              <w:top w:val="single" w:sz="4" w:space="0" w:color="auto"/>
              <w:left w:val="nil"/>
              <w:bottom w:val="single" w:sz="4" w:space="0" w:color="auto"/>
              <w:right w:val="single" w:sz="4" w:space="0" w:color="auto"/>
            </w:tcBorders>
            <w:shd w:val="clear" w:color="000000" w:fill="D7E4BC"/>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Valoración total</w:t>
            </w:r>
          </w:p>
        </w:tc>
      </w:tr>
      <w:tr w:rsidR="00A83349" w:rsidRPr="00AB65C4" w:rsidTr="00305C14">
        <w:trPr>
          <w:trHeight w:val="42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Tenerife</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1,14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35,43%</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1,06</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68,00%</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3,40</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5,61</w:t>
            </w:r>
          </w:p>
        </w:tc>
      </w:tr>
      <w:tr w:rsidR="00A83349" w:rsidRPr="00AB65C4" w:rsidTr="00305C14">
        <w:trPr>
          <w:trHeight w:val="36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La Palma</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7</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2,00</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34,58%</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1,04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49,98%</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2,50</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5,54</w:t>
            </w:r>
          </w:p>
        </w:tc>
      </w:tr>
      <w:tr w:rsidR="00A83349" w:rsidRPr="00AB65C4" w:rsidTr="00305C14">
        <w:trPr>
          <w:trHeight w:val="495"/>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Gran Canaria</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7</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2,00</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32,88%</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0,99</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50,12%</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2,51</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5,49</w:t>
            </w:r>
          </w:p>
        </w:tc>
      </w:tr>
      <w:tr w:rsidR="00A83349" w:rsidRPr="00AB65C4" w:rsidTr="00305C14">
        <w:trPr>
          <w:trHeight w:val="465"/>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Fuerteventura</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1,14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23,67%</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0,71</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32,12%</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1,61</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3,46</w:t>
            </w:r>
          </w:p>
        </w:tc>
      </w:tr>
      <w:tr w:rsidR="00A83349" w:rsidRPr="00AB65C4" w:rsidTr="00305C14">
        <w:trPr>
          <w:trHeight w:val="42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Lanzarote</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6</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1,71</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11,56%</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0,35</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18,96%</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0,95</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3,01</w:t>
            </w:r>
          </w:p>
        </w:tc>
      </w:tr>
      <w:tr w:rsidR="00A83349" w:rsidRPr="00AB65C4" w:rsidTr="00305C14">
        <w:trPr>
          <w:trHeight w:val="42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La Gomera</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1,14</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16,48%</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0,49</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19,13%</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0,96</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2,59</w:t>
            </w:r>
          </w:p>
        </w:tc>
      </w:tr>
      <w:tr w:rsidR="00A83349" w:rsidRPr="00AB65C4" w:rsidTr="00305C14">
        <w:trPr>
          <w:trHeight w:val="300"/>
          <w:jc w:val="center"/>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A83349" w:rsidRPr="00AB65C4" w:rsidRDefault="00A83349" w:rsidP="00305C14">
            <w:pPr>
              <w:spacing w:after="0" w:line="240" w:lineRule="auto"/>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El Hierro</w:t>
            </w:r>
          </w:p>
        </w:tc>
        <w:tc>
          <w:tcPr>
            <w:tcW w:w="1291" w:type="dxa"/>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2</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0,57</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6,25%</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0,19</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color w:val="000000"/>
                <w:sz w:val="16"/>
                <w:szCs w:val="16"/>
                <w:lang w:eastAsia="es-ES"/>
              </w:rPr>
            </w:pPr>
            <w:r w:rsidRPr="00AB65C4">
              <w:rPr>
                <w:rFonts w:ascii="Calibri" w:eastAsia="Times New Roman" w:hAnsi="Calibri" w:cs="Times New Roman"/>
                <w:color w:val="000000"/>
                <w:sz w:val="16"/>
                <w:szCs w:val="16"/>
                <w:lang w:eastAsia="es-ES"/>
              </w:rPr>
              <w:t>0,00</w:t>
            </w:r>
          </w:p>
        </w:tc>
        <w:tc>
          <w:tcPr>
            <w:tcW w:w="0" w:type="auto"/>
            <w:tcBorders>
              <w:top w:val="nil"/>
              <w:left w:val="nil"/>
              <w:bottom w:val="single" w:sz="4" w:space="0" w:color="auto"/>
              <w:right w:val="single" w:sz="4" w:space="0" w:color="auto"/>
            </w:tcBorders>
            <w:shd w:val="clear" w:color="auto" w:fill="auto"/>
            <w:noWrap/>
            <w:vAlign w:val="center"/>
            <w:hideMark/>
          </w:tcPr>
          <w:p w:rsidR="00A83349" w:rsidRPr="00AB65C4" w:rsidRDefault="00A83349" w:rsidP="00305C14">
            <w:pPr>
              <w:spacing w:after="0" w:line="240" w:lineRule="auto"/>
              <w:jc w:val="center"/>
              <w:rPr>
                <w:rFonts w:ascii="Calibri" w:eastAsia="Times New Roman" w:hAnsi="Calibri" w:cs="Times New Roman"/>
                <w:b/>
                <w:bCs/>
                <w:color w:val="000000"/>
                <w:sz w:val="16"/>
                <w:szCs w:val="16"/>
                <w:lang w:eastAsia="es-ES"/>
              </w:rPr>
            </w:pPr>
            <w:r w:rsidRPr="00AB65C4">
              <w:rPr>
                <w:rFonts w:ascii="Calibri" w:eastAsia="Times New Roman" w:hAnsi="Calibri" w:cs="Times New Roman"/>
                <w:b/>
                <w:bCs/>
                <w:color w:val="000000"/>
                <w:sz w:val="16"/>
                <w:szCs w:val="16"/>
                <w:lang w:eastAsia="es-ES"/>
              </w:rPr>
              <w:t>0,76</w:t>
            </w:r>
          </w:p>
        </w:tc>
      </w:tr>
    </w:tbl>
    <w:p w:rsidR="00305C14" w:rsidRDefault="00305C14"/>
    <w:p w:rsidR="00731304" w:rsidRDefault="00731304"/>
    <w:p w:rsidR="00731304" w:rsidRDefault="00731304">
      <w:r>
        <w:br w:type="page"/>
      </w:r>
    </w:p>
    <w:p w:rsidR="00A83349" w:rsidRDefault="00A83349" w:rsidP="00731304">
      <w:pPr>
        <w:pStyle w:val="Epgrafe"/>
        <w:keepNext/>
        <w:ind w:firstLine="708"/>
      </w:pPr>
      <w:bookmarkStart w:id="2" w:name="_Toc486838048"/>
      <w:r>
        <w:lastRenderedPageBreak/>
        <w:t xml:space="preserve">Cuadro </w:t>
      </w:r>
      <w:fldSimple w:instr=" SEQ Cuadro \* ARABIC ">
        <w:r>
          <w:rPr>
            <w:noProof/>
          </w:rPr>
          <w:t>9</w:t>
        </w:r>
      </w:fldSimple>
      <w:r>
        <w:t xml:space="preserve">. </w:t>
      </w:r>
      <w:r w:rsidRPr="00337A3C">
        <w:t>Ayuntamientos de más de 20.000 habitantes. Cálculo de indicadores</w:t>
      </w:r>
      <w:bookmarkEnd w:id="2"/>
    </w:p>
    <w:tbl>
      <w:tblPr>
        <w:tblW w:w="4705" w:type="pct"/>
        <w:jc w:val="center"/>
        <w:tblInd w:w="212" w:type="dxa"/>
        <w:tblCellMar>
          <w:left w:w="70" w:type="dxa"/>
          <w:right w:w="70" w:type="dxa"/>
        </w:tblCellMar>
        <w:tblLook w:val="04A0"/>
      </w:tblPr>
      <w:tblGrid>
        <w:gridCol w:w="1968"/>
        <w:gridCol w:w="947"/>
        <w:gridCol w:w="682"/>
        <w:gridCol w:w="953"/>
        <w:gridCol w:w="818"/>
        <w:gridCol w:w="1096"/>
        <w:gridCol w:w="817"/>
        <w:gridCol w:w="853"/>
      </w:tblGrid>
      <w:tr w:rsidR="00A83349" w:rsidRPr="005A7100" w:rsidTr="00305C14">
        <w:trPr>
          <w:trHeight w:val="555"/>
          <w:tblHeader/>
          <w:jc w:val="center"/>
        </w:trPr>
        <w:tc>
          <w:tcPr>
            <w:tcW w:w="1211" w:type="pct"/>
            <w:tcBorders>
              <w:top w:val="single" w:sz="4" w:space="0" w:color="auto"/>
              <w:left w:val="single" w:sz="4" w:space="0" w:color="auto"/>
              <w:bottom w:val="single" w:sz="4" w:space="0" w:color="auto"/>
              <w:right w:val="single" w:sz="4" w:space="0" w:color="auto"/>
            </w:tcBorders>
            <w:shd w:val="clear" w:color="000000" w:fill="CCC0DA"/>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Ayuntamientos de más de 20.000 habitantes</w:t>
            </w:r>
          </w:p>
        </w:tc>
        <w:tc>
          <w:tcPr>
            <w:tcW w:w="528" w:type="pct"/>
            <w:tcBorders>
              <w:top w:val="single" w:sz="4" w:space="0" w:color="auto"/>
              <w:left w:val="nil"/>
              <w:bottom w:val="single" w:sz="4" w:space="0" w:color="auto"/>
              <w:right w:val="single" w:sz="4" w:space="0" w:color="auto"/>
            </w:tcBorders>
            <w:shd w:val="clear" w:color="000000" w:fill="B6DDE8"/>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xml:space="preserve">Suma de criterios del </w:t>
            </w:r>
            <w:r>
              <w:rPr>
                <w:rFonts w:ascii="Calibri" w:eastAsia="Times New Roman" w:hAnsi="Calibri" w:cs="Times New Roman"/>
                <w:color w:val="000000"/>
                <w:sz w:val="16"/>
                <w:szCs w:val="16"/>
                <w:lang w:eastAsia="es-ES"/>
              </w:rPr>
              <w:t>cuestionario web</w:t>
            </w:r>
          </w:p>
        </w:tc>
        <w:tc>
          <w:tcPr>
            <w:tcW w:w="441" w:type="pct"/>
            <w:tcBorders>
              <w:top w:val="single" w:sz="4" w:space="0" w:color="auto"/>
              <w:left w:val="nil"/>
              <w:bottom w:val="single" w:sz="4" w:space="0" w:color="auto"/>
              <w:right w:val="single" w:sz="4" w:space="0" w:color="auto"/>
            </w:tcBorders>
            <w:shd w:val="clear" w:color="000000" w:fill="B6DDE8"/>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VF (20%)</w:t>
            </w:r>
          </w:p>
        </w:tc>
        <w:tc>
          <w:tcPr>
            <w:tcW w:w="597" w:type="pct"/>
            <w:tcBorders>
              <w:top w:val="single" w:sz="4" w:space="0" w:color="auto"/>
              <w:left w:val="nil"/>
              <w:bottom w:val="single" w:sz="4" w:space="0" w:color="auto"/>
              <w:right w:val="single" w:sz="4" w:space="0" w:color="auto"/>
            </w:tcBorders>
            <w:shd w:val="clear" w:color="000000" w:fill="FCD5B4"/>
            <w:vAlign w:val="center"/>
            <w:hideMark/>
          </w:tcPr>
          <w:p w:rsidR="00A83349" w:rsidRPr="005A7100" w:rsidRDefault="00A83349" w:rsidP="00305C14">
            <w:pPr>
              <w:spacing w:after="0" w:line="240" w:lineRule="auto"/>
              <w:jc w:val="center"/>
              <w:rPr>
                <w:rFonts w:ascii="Calibri" w:eastAsia="Times New Roman" w:hAnsi="Calibri" w:cs="Times New Roman"/>
                <w:bCs/>
                <w:color w:val="000000"/>
                <w:sz w:val="16"/>
                <w:szCs w:val="16"/>
                <w:lang w:eastAsia="es-ES"/>
              </w:rPr>
            </w:pPr>
            <w:r w:rsidRPr="005A7100">
              <w:rPr>
                <w:rFonts w:ascii="Calibri" w:eastAsia="Times New Roman" w:hAnsi="Calibri" w:cs="Times New Roman"/>
                <w:bCs/>
                <w:color w:val="000000"/>
                <w:sz w:val="16"/>
                <w:szCs w:val="16"/>
                <w:lang w:eastAsia="es-ES"/>
              </w:rPr>
              <w:t>Valoración del Excel</w:t>
            </w:r>
          </w:p>
        </w:tc>
        <w:tc>
          <w:tcPr>
            <w:tcW w:w="514" w:type="pct"/>
            <w:tcBorders>
              <w:top w:val="single" w:sz="4" w:space="0" w:color="auto"/>
              <w:left w:val="nil"/>
              <w:bottom w:val="single" w:sz="4" w:space="0" w:color="auto"/>
              <w:right w:val="single" w:sz="4" w:space="0" w:color="auto"/>
            </w:tcBorders>
            <w:shd w:val="clear" w:color="000000" w:fill="FCD5B4"/>
            <w:vAlign w:val="center"/>
            <w:hideMark/>
          </w:tcPr>
          <w:p w:rsidR="00A83349" w:rsidRPr="005A7100" w:rsidRDefault="00A83349" w:rsidP="00305C14">
            <w:pPr>
              <w:spacing w:after="0" w:line="240" w:lineRule="auto"/>
              <w:jc w:val="center"/>
              <w:rPr>
                <w:rFonts w:ascii="Calibri" w:eastAsia="Times New Roman" w:hAnsi="Calibri" w:cs="Times New Roman"/>
                <w:bCs/>
                <w:color w:val="000000"/>
                <w:sz w:val="16"/>
                <w:szCs w:val="16"/>
                <w:lang w:eastAsia="es-ES"/>
              </w:rPr>
            </w:pPr>
            <w:r w:rsidRPr="005A7100">
              <w:rPr>
                <w:rFonts w:ascii="Calibri" w:eastAsia="Times New Roman" w:hAnsi="Calibri" w:cs="Times New Roman"/>
                <w:bCs/>
                <w:color w:val="000000"/>
                <w:sz w:val="16"/>
                <w:szCs w:val="16"/>
                <w:lang w:eastAsia="es-ES"/>
              </w:rPr>
              <w:t>VE (30%)</w:t>
            </w:r>
          </w:p>
        </w:tc>
        <w:tc>
          <w:tcPr>
            <w:tcW w:w="674" w:type="pct"/>
            <w:tcBorders>
              <w:top w:val="single" w:sz="4" w:space="0" w:color="auto"/>
              <w:left w:val="nil"/>
              <w:bottom w:val="single" w:sz="4" w:space="0" w:color="auto"/>
              <w:right w:val="single" w:sz="4" w:space="0" w:color="auto"/>
            </w:tcBorders>
            <w:shd w:val="clear" w:color="000000" w:fill="DCE6F1"/>
            <w:vAlign w:val="center"/>
            <w:hideMark/>
          </w:tcPr>
          <w:p w:rsidR="00A83349" w:rsidRPr="005A7100" w:rsidRDefault="00A83349" w:rsidP="00305C14">
            <w:pPr>
              <w:spacing w:after="0" w:line="240" w:lineRule="auto"/>
              <w:jc w:val="center"/>
              <w:rPr>
                <w:rFonts w:ascii="Calibri" w:eastAsia="Times New Roman" w:hAnsi="Calibri" w:cs="Times New Roman"/>
                <w:bCs/>
                <w:color w:val="000000"/>
                <w:sz w:val="16"/>
                <w:szCs w:val="16"/>
                <w:lang w:eastAsia="es-ES"/>
              </w:rPr>
            </w:pPr>
            <w:r w:rsidRPr="005A7100">
              <w:rPr>
                <w:rFonts w:ascii="Calibri" w:eastAsia="Times New Roman" w:hAnsi="Calibri" w:cs="Times New Roman"/>
                <w:bCs/>
                <w:color w:val="000000"/>
                <w:sz w:val="16"/>
                <w:szCs w:val="16"/>
                <w:lang w:eastAsia="es-ES"/>
              </w:rPr>
              <w:t>Comprobación del Portal</w:t>
            </w:r>
          </w:p>
        </w:tc>
        <w:tc>
          <w:tcPr>
            <w:tcW w:w="513" w:type="pct"/>
            <w:tcBorders>
              <w:top w:val="single" w:sz="4" w:space="0" w:color="auto"/>
              <w:left w:val="nil"/>
              <w:bottom w:val="single" w:sz="4" w:space="0" w:color="auto"/>
              <w:right w:val="single" w:sz="4" w:space="0" w:color="auto"/>
            </w:tcBorders>
            <w:shd w:val="clear" w:color="000000" w:fill="DCE6F1"/>
            <w:vAlign w:val="center"/>
            <w:hideMark/>
          </w:tcPr>
          <w:p w:rsidR="00A83349" w:rsidRPr="005A7100" w:rsidRDefault="00A83349" w:rsidP="00305C14">
            <w:pPr>
              <w:spacing w:after="0" w:line="240" w:lineRule="auto"/>
              <w:jc w:val="center"/>
              <w:rPr>
                <w:rFonts w:ascii="Calibri" w:eastAsia="Times New Roman" w:hAnsi="Calibri" w:cs="Times New Roman"/>
                <w:bCs/>
                <w:color w:val="000000"/>
                <w:sz w:val="16"/>
                <w:szCs w:val="16"/>
                <w:lang w:eastAsia="es-ES"/>
              </w:rPr>
            </w:pPr>
            <w:r w:rsidRPr="005A7100">
              <w:rPr>
                <w:rFonts w:ascii="Calibri" w:eastAsia="Times New Roman" w:hAnsi="Calibri" w:cs="Times New Roman"/>
                <w:bCs/>
                <w:color w:val="000000"/>
                <w:sz w:val="16"/>
                <w:szCs w:val="16"/>
                <w:lang w:eastAsia="es-ES"/>
              </w:rPr>
              <w:t>CPT (50%)</w:t>
            </w:r>
          </w:p>
        </w:tc>
        <w:tc>
          <w:tcPr>
            <w:tcW w:w="522" w:type="pct"/>
            <w:tcBorders>
              <w:top w:val="single" w:sz="4" w:space="0" w:color="auto"/>
              <w:left w:val="nil"/>
              <w:bottom w:val="single" w:sz="4" w:space="0" w:color="auto"/>
              <w:right w:val="single" w:sz="4" w:space="0" w:color="auto"/>
            </w:tcBorders>
            <w:shd w:val="clear" w:color="000000" w:fill="D7E4BC"/>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Valoración total</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xml:space="preserve">Palmas de Gran Canaria, Las </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7</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2,00</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38,23%</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1,15</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79,88%</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3,99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7,14</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Arrecife</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1,43</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61,43%</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1,84</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74,38%</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3,72</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6,99</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Realejos, Los</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50,27%</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1,51</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83,85%</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4,19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6,84</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San Cristóbal de La Laguna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6</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1,71</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53,05%</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1,59</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62,97%</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3,15</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6,45</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Candelaria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1,43</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48,27%</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1,45</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68,30%</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3,41</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6,29</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Arona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46,07%</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1,38</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51,76%</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2,59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5,11</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Santa Cruz de Tenerife</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1,43</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34,21%</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1,03</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52,40%</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2,62</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5,07</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Teguise</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28,13%</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0,84</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49,74%</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2,49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4,47</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Arucas</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19,89%</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0,60</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30,02%</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1,50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3,24</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Telde</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0,86</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16,83%</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0,50</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35,85%</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1,79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3,15</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Llanos de Aridane, Los</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7,70%</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0,23</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33,47%</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1,67</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3,05</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Gáldar</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5</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1,43</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20,70%</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0,62</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17,73%</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2,94</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Tías</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10,35%</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0,31</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19,88%</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0,99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2,45</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San Bartolomé de Tirajana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16,37%</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0,49</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15,63%</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0,78</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2,42</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Puerto de la Cruz</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3,82%</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0,11</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21,67%</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1,08</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2,34</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Guía de Isora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10,21%</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0,31</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16,15%</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0,81</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2,26</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Puerto del Rosario</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0,86</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7,33%</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0,22</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22,00%</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2,18</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Santa Lucía de Tirajana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0,86</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12,42%</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0,37</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14,69%</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0,73</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1,96</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Icod de los Vinos</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1,14</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3,95%</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0,12</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9,31%</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0,47</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1,73</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Ingenio</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0,86</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2,08%</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0,06</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15,80%</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0,79</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1,71</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Tacoronte</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0,86</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14,93%</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0,75</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1,60</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Mogán</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3</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0,86</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4,62%</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0,14</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2,08%</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0,10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1,10</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Orotava, La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0,57</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17,26%</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0,52</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1,09</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Agüímes</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0,57</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6,20%</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0,31</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0,88</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Adeje</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0,57</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2,01%</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0,06</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0,63</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Granadilla de Abona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0,00</w:t>
            </w:r>
          </w:p>
        </w:tc>
      </w:tr>
      <w:tr w:rsidR="00A83349" w:rsidRPr="005A7100" w:rsidTr="00305C14">
        <w:trPr>
          <w:trHeight w:val="20"/>
          <w:jc w:val="center"/>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Oliva, La</w:t>
            </w:r>
          </w:p>
        </w:tc>
        <w:tc>
          <w:tcPr>
            <w:tcW w:w="528"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w:t>
            </w:r>
          </w:p>
        </w:tc>
        <w:tc>
          <w:tcPr>
            <w:tcW w:w="441"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597"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674"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 </w:t>
            </w:r>
          </w:p>
        </w:tc>
        <w:tc>
          <w:tcPr>
            <w:tcW w:w="513"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color w:val="000000"/>
                <w:sz w:val="16"/>
                <w:szCs w:val="16"/>
                <w:lang w:eastAsia="es-ES"/>
              </w:rPr>
            </w:pPr>
            <w:r w:rsidRPr="005A7100">
              <w:rPr>
                <w:rFonts w:ascii="Calibri" w:eastAsia="Times New Roman" w:hAnsi="Calibri" w:cs="Times New Roman"/>
                <w:color w:val="000000"/>
                <w:sz w:val="16"/>
                <w:szCs w:val="16"/>
                <w:lang w:eastAsia="es-ES"/>
              </w:rPr>
              <w:t>0,00</w:t>
            </w:r>
          </w:p>
        </w:tc>
        <w:tc>
          <w:tcPr>
            <w:tcW w:w="522" w:type="pct"/>
            <w:tcBorders>
              <w:top w:val="nil"/>
              <w:left w:val="nil"/>
              <w:bottom w:val="single" w:sz="4" w:space="0" w:color="auto"/>
              <w:right w:val="single" w:sz="4" w:space="0" w:color="auto"/>
            </w:tcBorders>
            <w:shd w:val="clear" w:color="auto" w:fill="auto"/>
            <w:noWrap/>
            <w:vAlign w:val="center"/>
            <w:hideMark/>
          </w:tcPr>
          <w:p w:rsidR="00A83349" w:rsidRPr="005A7100" w:rsidRDefault="00A83349" w:rsidP="00305C14">
            <w:pPr>
              <w:spacing w:after="0" w:line="240" w:lineRule="auto"/>
              <w:jc w:val="center"/>
              <w:rPr>
                <w:rFonts w:ascii="Calibri" w:eastAsia="Times New Roman" w:hAnsi="Calibri" w:cs="Times New Roman"/>
                <w:b/>
                <w:bCs/>
                <w:color w:val="000000"/>
                <w:sz w:val="16"/>
                <w:szCs w:val="16"/>
                <w:lang w:eastAsia="es-ES"/>
              </w:rPr>
            </w:pPr>
            <w:r w:rsidRPr="005A7100">
              <w:rPr>
                <w:rFonts w:ascii="Calibri" w:eastAsia="Times New Roman" w:hAnsi="Calibri" w:cs="Times New Roman"/>
                <w:b/>
                <w:bCs/>
                <w:color w:val="000000"/>
                <w:sz w:val="16"/>
                <w:szCs w:val="16"/>
                <w:lang w:eastAsia="es-ES"/>
              </w:rPr>
              <w:t>0,00</w:t>
            </w:r>
          </w:p>
        </w:tc>
      </w:tr>
    </w:tbl>
    <w:p w:rsidR="00731304" w:rsidRDefault="00731304"/>
    <w:p w:rsidR="00305C14" w:rsidRDefault="00731304">
      <w:r>
        <w:br w:type="page"/>
      </w:r>
    </w:p>
    <w:p w:rsidR="00A83349" w:rsidRDefault="00A83349" w:rsidP="00A83349">
      <w:pPr>
        <w:pStyle w:val="Epgrafe"/>
        <w:keepNext/>
        <w:jc w:val="center"/>
      </w:pPr>
      <w:bookmarkStart w:id="3" w:name="_Toc486838051"/>
      <w:r>
        <w:lastRenderedPageBreak/>
        <w:t xml:space="preserve">Cuadro </w:t>
      </w:r>
      <w:fldSimple w:instr=" SEQ Cuadro \* ARABIC ">
        <w:r>
          <w:rPr>
            <w:noProof/>
          </w:rPr>
          <w:t>12</w:t>
        </w:r>
      </w:fldSimple>
      <w:r>
        <w:t xml:space="preserve">. Ayuntamientos </w:t>
      </w:r>
      <w:r w:rsidRPr="00426A15">
        <w:t>de menos de 20.000 habitantes. Cálculo de indicadores</w:t>
      </w:r>
      <w:bookmarkEnd w:id="3"/>
    </w:p>
    <w:tbl>
      <w:tblPr>
        <w:tblW w:w="4879" w:type="pct"/>
        <w:jc w:val="center"/>
        <w:tblLayout w:type="fixed"/>
        <w:tblCellMar>
          <w:left w:w="70" w:type="dxa"/>
          <w:right w:w="70" w:type="dxa"/>
        </w:tblCellMar>
        <w:tblLook w:val="04A0"/>
      </w:tblPr>
      <w:tblGrid>
        <w:gridCol w:w="1958"/>
        <w:gridCol w:w="901"/>
        <w:gridCol w:w="835"/>
        <w:gridCol w:w="994"/>
        <w:gridCol w:w="847"/>
        <w:gridCol w:w="1132"/>
        <w:gridCol w:w="852"/>
        <w:gridCol w:w="916"/>
      </w:tblGrid>
      <w:tr w:rsidR="00A83349" w:rsidRPr="00EE4047" w:rsidTr="00305C14">
        <w:trPr>
          <w:trHeight w:val="781"/>
          <w:tblHeader/>
          <w:jc w:val="center"/>
        </w:trPr>
        <w:tc>
          <w:tcPr>
            <w:tcW w:w="1161" w:type="pct"/>
            <w:tcBorders>
              <w:top w:val="single" w:sz="4" w:space="0" w:color="auto"/>
              <w:left w:val="single" w:sz="4" w:space="0" w:color="auto"/>
              <w:bottom w:val="single" w:sz="4" w:space="0" w:color="auto"/>
              <w:right w:val="single" w:sz="4" w:space="0" w:color="auto"/>
            </w:tcBorders>
            <w:shd w:val="clear" w:color="000000" w:fill="CCC0DA"/>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Ayuntamientos de menos de 20.000 habitantes</w:t>
            </w:r>
          </w:p>
        </w:tc>
        <w:tc>
          <w:tcPr>
            <w:tcW w:w="534" w:type="pct"/>
            <w:tcBorders>
              <w:top w:val="single" w:sz="4" w:space="0" w:color="auto"/>
              <w:left w:val="nil"/>
              <w:bottom w:val="single" w:sz="4" w:space="0" w:color="auto"/>
              <w:right w:val="single" w:sz="4" w:space="0" w:color="auto"/>
            </w:tcBorders>
            <w:shd w:val="clear" w:color="000000" w:fill="B6DDE8"/>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xml:space="preserve">Suma de criterios del </w:t>
            </w:r>
            <w:r>
              <w:rPr>
                <w:rFonts w:eastAsia="Times New Roman" w:cs="Times New Roman"/>
                <w:color w:val="000000"/>
                <w:sz w:val="16"/>
                <w:szCs w:val="16"/>
                <w:lang w:val="es-ES_tradnl" w:eastAsia="es-ES_tradnl"/>
              </w:rPr>
              <w:t>cuestionario web</w:t>
            </w:r>
          </w:p>
        </w:tc>
        <w:tc>
          <w:tcPr>
            <w:tcW w:w="495" w:type="pct"/>
            <w:tcBorders>
              <w:top w:val="single" w:sz="4" w:space="0" w:color="auto"/>
              <w:left w:val="nil"/>
              <w:bottom w:val="single" w:sz="4" w:space="0" w:color="auto"/>
              <w:right w:val="single" w:sz="4" w:space="0" w:color="auto"/>
            </w:tcBorders>
            <w:shd w:val="clear" w:color="000000" w:fill="B6DDE8"/>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VF (20%)</w:t>
            </w:r>
          </w:p>
        </w:tc>
        <w:tc>
          <w:tcPr>
            <w:tcW w:w="589" w:type="pct"/>
            <w:tcBorders>
              <w:top w:val="single" w:sz="4" w:space="0" w:color="auto"/>
              <w:left w:val="nil"/>
              <w:bottom w:val="single" w:sz="4" w:space="0" w:color="auto"/>
              <w:right w:val="single" w:sz="4" w:space="0" w:color="auto"/>
            </w:tcBorders>
            <w:shd w:val="clear" w:color="000000" w:fill="FCD5B4"/>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xml:space="preserve"> Valoración del Excel</w:t>
            </w:r>
          </w:p>
        </w:tc>
        <w:tc>
          <w:tcPr>
            <w:tcW w:w="502" w:type="pct"/>
            <w:tcBorders>
              <w:top w:val="single" w:sz="4" w:space="0" w:color="auto"/>
              <w:left w:val="nil"/>
              <w:bottom w:val="single" w:sz="4" w:space="0" w:color="auto"/>
              <w:right w:val="single" w:sz="4" w:space="0" w:color="auto"/>
            </w:tcBorders>
            <w:shd w:val="clear" w:color="000000" w:fill="FCD5B4"/>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VE (30%)</w:t>
            </w:r>
          </w:p>
        </w:tc>
        <w:tc>
          <w:tcPr>
            <w:tcW w:w="671" w:type="pct"/>
            <w:tcBorders>
              <w:top w:val="single" w:sz="4" w:space="0" w:color="auto"/>
              <w:left w:val="nil"/>
              <w:bottom w:val="single" w:sz="4" w:space="0" w:color="auto"/>
              <w:right w:val="single" w:sz="4" w:space="0" w:color="auto"/>
            </w:tcBorders>
            <w:shd w:val="clear" w:color="000000" w:fill="DCE6F1"/>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Comprobación del Portal</w:t>
            </w:r>
          </w:p>
        </w:tc>
        <w:tc>
          <w:tcPr>
            <w:tcW w:w="505" w:type="pct"/>
            <w:tcBorders>
              <w:top w:val="single" w:sz="4" w:space="0" w:color="auto"/>
              <w:left w:val="nil"/>
              <w:bottom w:val="single" w:sz="4" w:space="0" w:color="auto"/>
              <w:right w:val="single" w:sz="4" w:space="0" w:color="auto"/>
            </w:tcBorders>
            <w:shd w:val="clear" w:color="000000" w:fill="DCE6F1"/>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CPT (50%)</w:t>
            </w:r>
          </w:p>
        </w:tc>
        <w:tc>
          <w:tcPr>
            <w:tcW w:w="543" w:type="pct"/>
            <w:tcBorders>
              <w:top w:val="single" w:sz="4" w:space="0" w:color="auto"/>
              <w:left w:val="nil"/>
              <w:bottom w:val="single" w:sz="4" w:space="0" w:color="auto"/>
              <w:right w:val="single" w:sz="4" w:space="0" w:color="auto"/>
            </w:tcBorders>
            <w:shd w:val="clear" w:color="000000" w:fill="D7E4BC"/>
            <w:vAlign w:val="center"/>
            <w:hideMark/>
          </w:tcPr>
          <w:p w:rsidR="00A83349" w:rsidRPr="00EE4047" w:rsidRDefault="00A83349" w:rsidP="00305C14">
            <w:pPr>
              <w:spacing w:after="0" w:line="240" w:lineRule="auto"/>
              <w:jc w:val="center"/>
              <w:rPr>
                <w:rFonts w:eastAsia="Times New Roman" w:cs="Times New Roman"/>
                <w:b/>
                <w:color w:val="000000"/>
                <w:sz w:val="16"/>
                <w:szCs w:val="16"/>
                <w:lang w:val="es-ES_tradnl" w:eastAsia="es-ES_tradnl"/>
              </w:rPr>
            </w:pPr>
            <w:r w:rsidRPr="00EE4047">
              <w:rPr>
                <w:rFonts w:eastAsia="Times New Roman" w:cs="Times New Roman"/>
                <w:b/>
                <w:color w:val="000000"/>
                <w:sz w:val="16"/>
                <w:szCs w:val="16"/>
                <w:lang w:val="es-ES_tradnl" w:eastAsia="es-ES_tradnl"/>
              </w:rPr>
              <w:t xml:space="preserve">Valoración total </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Fasnia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1,71</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72,90%</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2,19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100,00%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8,90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Frontera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80,64%</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2,42</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100,00%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8,56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Güímar</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1,43</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48,98%</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1,47</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93,75%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4,69</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7,59</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Arico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1,43</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47,95%</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1,44</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87,50%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4,38</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7,24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Sauzal, El</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1,43</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36,27%</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1,09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93,75%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4,69</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7,20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 Juan de la Rambla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33,97%</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1,02</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81,25%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4,06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6,22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Valverde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23,61%</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0,71</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75,00%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3,75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5,32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Tuineje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1,43</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22,90%</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0,69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62,50%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3,13</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5,24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Santiago del Teide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24,31%</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0,73</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62,50%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3,13</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5,00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Tegueste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15,95%</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0,48</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56,25%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2,81</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4,43</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xml:space="preserve">Santa María de Guía </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4,24%</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0,13</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68,75%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3,44</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4,42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Arafo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22,79%</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0,68</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4,33</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Garafía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68,75%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3,44</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4,01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Teror</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9,96%</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0,30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56,25%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2,81</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3,97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Rosario, El</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56,25%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2,81</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3,67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xml:space="preserve">Valsequillo </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9,71%</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43,75%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2,19</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3,62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 Sebastián de la Gomera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9,69%</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43,75%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2,19</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3,62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Moya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1,43</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3,15%</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37,50%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1,88</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3,40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Firgas</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1,32%</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0,04</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3,40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 Bartolomé</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1,71</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3,28</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Valle Gran Rey</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1,71</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8,33%</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0,25</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3,21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 Miguel de Abona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6,07%</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0,18</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37,50%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1,88</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3,20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Betancuria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3,07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Tinajo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43,75%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2,19</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3,04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Valleseco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1,71</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1,04%</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0,03</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3,00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Agulo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7,78%</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0,23</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2,94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Guancha, La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6,07%</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0,18</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2,89</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Alajeró</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5,03%</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0,15</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2,86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Hermigua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5,03%</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0,15</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2,86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Santa Úrsula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4,52%</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0,14</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2,84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Yaiza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2,71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Haría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9,41%</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0,28</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2,68</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 Andrés y Sauces</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8,16%</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0,24</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2,66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Tejeda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3,82%</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0,11</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2,53</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Matanza de Acentejo, La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3,13%</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0,09</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2,49</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Tijarafe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43,75%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2,19</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2,47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Puntagorda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37,50%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1,88</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2,45</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Santa Cruz de la Palma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2,42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Vilaflor de Chasna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2,42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Pájara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37,50%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1,88</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2,16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Garachico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2,13</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Pinar, El</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2,11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Tanque, El</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2,08%</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0,06</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0,94</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1,86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Paso, El</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1,85</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lastRenderedPageBreak/>
              <w:t>Victoria de Acentejo, La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31,25%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1,56</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1,85</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Agaete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25,00%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1,82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Breña Alta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0,52%</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0,02</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0,94</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1,81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Fuencaliente de la Palma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5</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1,43</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0,31</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1,74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Vega de San Mateo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1,04%</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0,03</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0,63</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1,51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Buenavista del Norte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4,79%</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0,14</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6,25%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0,31</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1,31</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Tazacorte</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18,75%</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0,94</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1,22</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Barlovento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12,50%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0,63</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1,20</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Vallehermoso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4</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1,14</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1,14</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Aldea de San Nicolás, La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0,86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Villa de Mazo</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3</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0,86</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0,86</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Artenara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0,57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Breña Baja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0,57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Puntallana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2</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0,57</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0,57</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Antigua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0,29</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Santa Brígida</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1</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0,29</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0,29</w:t>
            </w:r>
          </w:p>
        </w:tc>
      </w:tr>
      <w:tr w:rsidR="00A83349" w:rsidRPr="00EE4047" w:rsidTr="00305C14">
        <w:trPr>
          <w:trHeight w:val="255"/>
          <w:jc w:val="center"/>
        </w:trPr>
        <w:tc>
          <w:tcPr>
            <w:tcW w:w="1161" w:type="pct"/>
            <w:tcBorders>
              <w:top w:val="nil"/>
              <w:left w:val="single" w:sz="4" w:space="0" w:color="auto"/>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Silos, Los</w:t>
            </w:r>
          </w:p>
        </w:tc>
        <w:tc>
          <w:tcPr>
            <w:tcW w:w="534"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w:t>
            </w:r>
          </w:p>
        </w:tc>
        <w:tc>
          <w:tcPr>
            <w:tcW w:w="49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89"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 </w:t>
            </w:r>
          </w:p>
        </w:tc>
        <w:tc>
          <w:tcPr>
            <w:tcW w:w="502"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671"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05"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color w:val="000000"/>
                <w:sz w:val="16"/>
                <w:szCs w:val="16"/>
                <w:lang w:val="es-ES_tradnl" w:eastAsia="es-ES_tradnl"/>
              </w:rPr>
            </w:pPr>
            <w:r w:rsidRPr="00EE4047">
              <w:rPr>
                <w:rFonts w:eastAsia="Times New Roman" w:cs="Times New Roman"/>
                <w:color w:val="000000"/>
                <w:sz w:val="16"/>
                <w:szCs w:val="16"/>
                <w:lang w:val="es-ES_tradnl" w:eastAsia="es-ES_tradnl"/>
              </w:rPr>
              <w:t>0,00</w:t>
            </w:r>
          </w:p>
        </w:tc>
        <w:tc>
          <w:tcPr>
            <w:tcW w:w="543" w:type="pct"/>
            <w:tcBorders>
              <w:top w:val="nil"/>
              <w:left w:val="nil"/>
              <w:bottom w:val="single" w:sz="4" w:space="0" w:color="auto"/>
              <w:right w:val="single" w:sz="4" w:space="0" w:color="auto"/>
            </w:tcBorders>
            <w:shd w:val="clear" w:color="auto" w:fill="auto"/>
            <w:noWrap/>
            <w:vAlign w:val="center"/>
            <w:hideMark/>
          </w:tcPr>
          <w:p w:rsidR="00A83349" w:rsidRPr="00EE4047" w:rsidRDefault="00A83349" w:rsidP="00305C14">
            <w:pPr>
              <w:spacing w:after="0" w:line="240" w:lineRule="auto"/>
              <w:jc w:val="center"/>
              <w:rPr>
                <w:rFonts w:eastAsia="Times New Roman" w:cs="Times New Roman"/>
                <w:b/>
                <w:bCs/>
                <w:color w:val="000000"/>
                <w:sz w:val="16"/>
                <w:szCs w:val="16"/>
                <w:lang w:val="es-ES_tradnl" w:eastAsia="es-ES_tradnl"/>
              </w:rPr>
            </w:pPr>
            <w:r w:rsidRPr="00EE4047">
              <w:rPr>
                <w:rFonts w:eastAsia="Times New Roman" w:cs="Times New Roman"/>
                <w:b/>
                <w:bCs/>
                <w:color w:val="000000"/>
                <w:sz w:val="16"/>
                <w:szCs w:val="16"/>
                <w:lang w:val="es-ES_tradnl" w:eastAsia="es-ES_tradnl"/>
              </w:rPr>
              <w:t>0,00</w:t>
            </w:r>
          </w:p>
        </w:tc>
      </w:tr>
    </w:tbl>
    <w:p w:rsidR="0003317A" w:rsidRDefault="0003317A"/>
    <w:p w:rsidR="0003317A" w:rsidRPr="00731304" w:rsidRDefault="00020DB1" w:rsidP="00731304">
      <w:r>
        <w:rPr>
          <w:rFonts w:ascii="Arial" w:hAnsi="Arial" w:cs="Arial"/>
          <w:b/>
          <w:sz w:val="28"/>
          <w:szCs w:val="28"/>
        </w:rPr>
        <w:t xml:space="preserve">Información sobre el método de </w:t>
      </w:r>
      <w:r w:rsidR="0003317A" w:rsidRPr="0003317A">
        <w:rPr>
          <w:rFonts w:ascii="Arial" w:hAnsi="Arial" w:cs="Arial"/>
          <w:b/>
          <w:sz w:val="28"/>
          <w:szCs w:val="28"/>
        </w:rPr>
        <w:t>cálculo del índice</w:t>
      </w:r>
      <w:r>
        <w:rPr>
          <w:rFonts w:ascii="Arial" w:hAnsi="Arial" w:cs="Arial"/>
          <w:b/>
          <w:sz w:val="28"/>
          <w:szCs w:val="28"/>
        </w:rPr>
        <w:t xml:space="preserve"> ITCanarias.</w:t>
      </w:r>
    </w:p>
    <w:p w:rsidR="0003317A" w:rsidRPr="000F1438" w:rsidRDefault="0003317A" w:rsidP="0003317A">
      <w:pPr>
        <w:jc w:val="both"/>
      </w:pPr>
      <w:r>
        <w:rPr>
          <w:rFonts w:ascii="Arial" w:hAnsi="Arial" w:cs="Arial"/>
          <w:sz w:val="24"/>
          <w:szCs w:val="24"/>
        </w:rPr>
        <w:t>En el estudio del año 2016 hemos optado por profundizar en el nivel de análisis de las publicidad activa de los portales de transparencia de las instituciones canarias, más allá del que llevamos a cabo para el año 2015. Ahora hemos señalado valores a los ítems de obligaciones informativas contenidos en la Ley canaria para determinar indicadores que, aun no siendo definitivos, nos vayan acercando a una mejor medición de la transparencia de las instituciones canarias.</w:t>
      </w:r>
    </w:p>
    <w:p w:rsidR="0003317A" w:rsidRPr="000F1438" w:rsidRDefault="0003317A" w:rsidP="0003317A">
      <w:pPr>
        <w:jc w:val="both"/>
      </w:pPr>
      <w:r>
        <w:rPr>
          <w:rFonts w:ascii="Arial" w:hAnsi="Arial" w:cs="Arial"/>
          <w:sz w:val="24"/>
          <w:szCs w:val="24"/>
        </w:rPr>
        <w:t>Destacamos y advertimos desde el inicio que esta calificación numérica constituye una primera aproximación sobre el cumplimiento de la publicidad activa de las administraciones públicas canarias; ya que no existe todavía un procedimiento concertado con los órganos garantes de la transparencia que permita realizar mediciones en el cuádruple nivel local, insular-provincial, autonómico y estatal. Ni tampoco existe un instrumento de referencia en al ámbito de la UE. Por lo que, cada año, vamos perfeccionando la evaluación a la vista de las experiencias anteriores, en tanto no exista un instrumento homogéneo para todos. Las evaluaciones que han realizado entidades privadas en ningún caso miden el grado de cumplimiento de las leyes, sino la presencia mayor o menor en las webs oficiales de algunos contenidos informativos que han considerado más importantes.</w:t>
      </w:r>
    </w:p>
    <w:p w:rsidR="0003317A" w:rsidRPr="000F1438" w:rsidRDefault="0003317A" w:rsidP="0003317A">
      <w:pPr>
        <w:jc w:val="both"/>
      </w:pPr>
      <w:r>
        <w:rPr>
          <w:rFonts w:ascii="Arial" w:hAnsi="Arial" w:cs="Arial"/>
          <w:sz w:val="24"/>
          <w:szCs w:val="24"/>
        </w:rPr>
        <w:lastRenderedPageBreak/>
        <w:t xml:space="preserve">Es por ello que el análisis que sigue se ha de considerar como un primer Índice de Transparencia de Canarias (ITCanarias), más atento a la medición de la publicidad activa de cada institución [en la transparencia pasiva los indicadores cuantitativos son muy escasos y no siempre ponderables numéricamente, porque se manejan conceptos jurídicos cualitativos más que cuantitativos]. Y constituye un Índice que será afinado y mejorado en ejercicios sucesivos, bien por su propia evolución, bien porque se asuma un modelo homogéneo para todas las comunidades autónomas. Y, aunque se ha ordenado por puntos, no será un ranking definitivo hasta que, en ejercicios posteriores y con más medios aplicados a esta tarea, se puedan evaluar con mucho más detalle los portales de transparencia. </w:t>
      </w:r>
    </w:p>
    <w:p w:rsidR="0003317A" w:rsidRDefault="0003317A" w:rsidP="0003317A">
      <w:pPr>
        <w:jc w:val="both"/>
      </w:pPr>
      <w:r>
        <w:rPr>
          <w:rFonts w:ascii="Arial" w:hAnsi="Arial" w:cs="Arial"/>
          <w:sz w:val="24"/>
          <w:szCs w:val="24"/>
        </w:rPr>
        <w:t>Este Índice de Transparencia de Canarias (ITCanarias) es útil, sin embargo, para conocer tanto a aquellas instituciones que mejor cumplen sus obligaciones de publicidad activa como aquellas otras que ignoran totalmente el mandato legal de transparencia, esencial en cualquier sociedad democrática. Entre unas y otras se encuentran aquellas instituciones que ocupan lugares intermedios.</w:t>
      </w:r>
    </w:p>
    <w:p w:rsidR="0003317A" w:rsidRDefault="0003317A" w:rsidP="0003317A">
      <w:pPr>
        <w:jc w:val="both"/>
        <w:rPr>
          <w:rFonts w:ascii="Arial" w:hAnsi="Arial" w:cs="Arial"/>
          <w:sz w:val="24"/>
          <w:szCs w:val="24"/>
        </w:rPr>
      </w:pPr>
      <w:r>
        <w:rPr>
          <w:rFonts w:ascii="Arial" w:hAnsi="Arial" w:cs="Arial"/>
          <w:sz w:val="24"/>
          <w:szCs w:val="24"/>
        </w:rPr>
        <w:t>Para calcular los índices, cuyos valores pueden oscilar entre 0 y 10, se han tenido en cuenta tres componentes: 1) la valoración del cuestionario web; 2) la valoración de las respuestas en tablas Excel; y 3) la comprobación que los propios servicios del Comisionado de Transparencia ha realizado de los portales de transparencia.</w:t>
      </w:r>
    </w:p>
    <w:p w:rsidR="0003317A" w:rsidRPr="000F1438" w:rsidRDefault="0003317A" w:rsidP="0003317A">
      <w:pPr>
        <w:pStyle w:val="Prrafodelista"/>
        <w:numPr>
          <w:ilvl w:val="1"/>
          <w:numId w:val="1"/>
        </w:numPr>
        <w:spacing w:after="0" w:line="240" w:lineRule="auto"/>
        <w:ind w:left="641" w:hanging="357"/>
        <w:jc w:val="both"/>
      </w:pPr>
      <w:r w:rsidRPr="000F1438">
        <w:rPr>
          <w:rFonts w:ascii="Arial" w:hAnsi="Arial" w:cs="Arial"/>
          <w:sz w:val="24"/>
          <w:szCs w:val="24"/>
          <w:u w:val="single"/>
        </w:rPr>
        <w:t>Componente 1</w:t>
      </w:r>
      <w:r>
        <w:rPr>
          <w:rFonts w:ascii="Arial" w:hAnsi="Arial" w:cs="Arial"/>
          <w:sz w:val="24"/>
          <w:szCs w:val="24"/>
        </w:rPr>
        <w:t>: valoración de las contestaciones al cuestionario web (VC)</w:t>
      </w:r>
    </w:p>
    <w:p w:rsidR="0003317A" w:rsidRPr="000F1438" w:rsidRDefault="0003317A" w:rsidP="0003317A">
      <w:pPr>
        <w:pStyle w:val="Prrafodelista"/>
        <w:spacing w:after="0" w:line="240" w:lineRule="auto"/>
        <w:ind w:left="641"/>
        <w:jc w:val="both"/>
      </w:pPr>
    </w:p>
    <w:p w:rsidR="0003317A" w:rsidRPr="000F1438" w:rsidRDefault="0003317A" w:rsidP="0003317A">
      <w:pPr>
        <w:jc w:val="both"/>
      </w:pPr>
      <w:r>
        <w:rPr>
          <w:rFonts w:ascii="Arial" w:hAnsi="Arial" w:cs="Arial"/>
          <w:sz w:val="24"/>
          <w:szCs w:val="24"/>
        </w:rPr>
        <w:t xml:space="preserve">En esta componente se valoran los siguientes criterios: </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tiene o no portal de transparencia.</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ha realizado la memoria anual de transparencia de la entidad.</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el portal de transparencia se estructura según la LTAIP.</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se informa en el portal de transparencia sobre la LTAIP.</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existe un formulario descargable de solicitud de información pública en el portal de transparencia.</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fue transparente al responder el cuestionario web sobre su propia transparencia.</w:t>
      </w:r>
    </w:p>
    <w:p w:rsidR="0003317A" w:rsidRDefault="0003317A" w:rsidP="0003317A">
      <w:pPr>
        <w:pStyle w:val="Prrafodelista"/>
        <w:numPr>
          <w:ilvl w:val="1"/>
          <w:numId w:val="2"/>
        </w:numPr>
        <w:spacing w:after="0" w:line="240" w:lineRule="auto"/>
        <w:ind w:left="641" w:hanging="357"/>
        <w:jc w:val="both"/>
      </w:pPr>
      <w:r>
        <w:rPr>
          <w:rFonts w:ascii="Arial" w:hAnsi="Arial" w:cs="Arial"/>
          <w:sz w:val="24"/>
          <w:szCs w:val="24"/>
        </w:rPr>
        <w:t>Si respondió el formulario Excel del Comisionado.</w:t>
      </w:r>
    </w:p>
    <w:p w:rsidR="0003317A" w:rsidRDefault="0003317A" w:rsidP="0003317A">
      <w:pPr>
        <w:jc w:val="both"/>
        <w:rPr>
          <w:rFonts w:ascii="Arial" w:hAnsi="Arial" w:cs="Arial"/>
        </w:rPr>
      </w:pPr>
    </w:p>
    <w:p w:rsidR="0003317A" w:rsidRPr="000F1438" w:rsidRDefault="0003317A" w:rsidP="0003317A">
      <w:pPr>
        <w:jc w:val="both"/>
      </w:pPr>
      <w:r>
        <w:rPr>
          <w:rFonts w:ascii="Arial" w:hAnsi="Arial" w:cs="Arial"/>
          <w:sz w:val="24"/>
          <w:szCs w:val="24"/>
        </w:rPr>
        <w:t>A cada uno de estos criterios se le asigna un punto en caso de que se cumpla y, en caso contrario, 0 puntos; siendo 7 la suma máxima de los siete criterios.</w:t>
      </w:r>
    </w:p>
    <w:p w:rsidR="0003317A" w:rsidRPr="000F1438" w:rsidRDefault="0003317A" w:rsidP="0003317A">
      <w:pPr>
        <w:jc w:val="both"/>
      </w:pPr>
      <w:r>
        <w:rPr>
          <w:rFonts w:ascii="Arial" w:hAnsi="Arial" w:cs="Arial"/>
          <w:sz w:val="24"/>
          <w:szCs w:val="24"/>
        </w:rPr>
        <w:t>El valor de VC será esta suma indicada; que a continuación se pondera con un “peso” de un 20% en el cómputo total; es decir, que el valor máximo que este componente puede alcanzar en la fórmula final es de 2 puntos.</w:t>
      </w:r>
    </w:p>
    <w:p w:rsidR="0003317A" w:rsidRDefault="0003317A" w:rsidP="0003317A">
      <w:pPr>
        <w:pStyle w:val="Prrafodelista"/>
        <w:numPr>
          <w:ilvl w:val="1"/>
          <w:numId w:val="1"/>
        </w:numPr>
        <w:spacing w:after="0" w:line="240" w:lineRule="auto"/>
        <w:ind w:left="641" w:hanging="357"/>
        <w:jc w:val="both"/>
      </w:pPr>
      <w:r w:rsidRPr="000F1438">
        <w:rPr>
          <w:rFonts w:ascii="Arial" w:hAnsi="Arial" w:cs="Arial"/>
          <w:sz w:val="24"/>
          <w:szCs w:val="24"/>
          <w:u w:val="single"/>
        </w:rPr>
        <w:lastRenderedPageBreak/>
        <w:t>Componente 2</w:t>
      </w:r>
      <w:r>
        <w:rPr>
          <w:rFonts w:ascii="Arial" w:hAnsi="Arial" w:cs="Arial"/>
          <w:sz w:val="24"/>
          <w:szCs w:val="24"/>
        </w:rPr>
        <w:t>: valoración del Excel (VE)</w:t>
      </w:r>
    </w:p>
    <w:p w:rsidR="0003317A" w:rsidRDefault="0003317A" w:rsidP="0003317A">
      <w:pPr>
        <w:pStyle w:val="Prrafodelista"/>
        <w:spacing w:after="0"/>
        <w:ind w:left="641"/>
        <w:jc w:val="both"/>
        <w:rPr>
          <w:rFonts w:ascii="Arial" w:hAnsi="Arial" w:cs="Arial"/>
        </w:rPr>
      </w:pPr>
    </w:p>
    <w:p w:rsidR="0003317A" w:rsidRPr="000F1438" w:rsidRDefault="0003317A" w:rsidP="0003317A">
      <w:pPr>
        <w:jc w:val="both"/>
      </w:pPr>
      <w:r>
        <w:rPr>
          <w:rFonts w:ascii="Arial" w:hAnsi="Arial" w:cs="Arial"/>
          <w:sz w:val="24"/>
          <w:szCs w:val="24"/>
        </w:rPr>
        <w:t xml:space="preserve">En esta componente sólo se valora el Excel según la metodología que se explica en los párrafos siguientes. El resultado es un porcentaje que se pondera al 30% en la formula final, pudiendo alcanzar un máximo de 3 puntos. </w:t>
      </w:r>
    </w:p>
    <w:p w:rsidR="0003317A" w:rsidRDefault="0003317A" w:rsidP="0003317A">
      <w:pPr>
        <w:pStyle w:val="Prrafodelista"/>
        <w:numPr>
          <w:ilvl w:val="1"/>
          <w:numId w:val="1"/>
        </w:numPr>
        <w:spacing w:after="0" w:line="240" w:lineRule="auto"/>
        <w:ind w:left="641" w:hanging="357"/>
        <w:jc w:val="both"/>
      </w:pPr>
      <w:bookmarkStart w:id="4" w:name="_Ref486416221"/>
      <w:r w:rsidRPr="000F1438">
        <w:rPr>
          <w:rFonts w:ascii="Arial" w:hAnsi="Arial" w:cs="Arial"/>
          <w:sz w:val="24"/>
          <w:szCs w:val="24"/>
          <w:u w:val="single"/>
        </w:rPr>
        <w:t>Componente 3</w:t>
      </w:r>
      <w:r>
        <w:rPr>
          <w:rFonts w:ascii="Arial" w:hAnsi="Arial" w:cs="Arial"/>
          <w:sz w:val="24"/>
          <w:szCs w:val="24"/>
        </w:rPr>
        <w:t>: comprobación de los portales de transparencia (CPT)</w:t>
      </w:r>
      <w:bookmarkEnd w:id="4"/>
    </w:p>
    <w:p w:rsidR="0003317A" w:rsidRDefault="0003317A" w:rsidP="0003317A">
      <w:pPr>
        <w:jc w:val="both"/>
        <w:rPr>
          <w:rFonts w:ascii="Arial" w:hAnsi="Arial" w:cs="Arial"/>
        </w:rPr>
      </w:pPr>
    </w:p>
    <w:p w:rsidR="0003317A" w:rsidRDefault="0003317A" w:rsidP="0003317A">
      <w:pPr>
        <w:jc w:val="both"/>
      </w:pPr>
      <w:r>
        <w:rPr>
          <w:rFonts w:ascii="Arial" w:hAnsi="Arial" w:cs="Arial"/>
          <w:sz w:val="24"/>
          <w:szCs w:val="24"/>
        </w:rPr>
        <w:t>En esta componente solo se tiene en cuenta la valoración de los portales de transparencia realizada directamente por los servicios del Comisionado de Transparencia, conforme a la metodología que se explica en los párrafos siguientes. El resultado es un porcentaje que se pondera al 50%, pudiendo alcanzar un máximo de 5 puntos.</w:t>
      </w:r>
    </w:p>
    <w:p w:rsidR="0003317A" w:rsidRPr="003A4C01" w:rsidRDefault="0003317A" w:rsidP="0003317A">
      <w:pPr>
        <w:spacing w:after="0"/>
        <w:jc w:val="both"/>
        <w:rPr>
          <w:rFonts w:ascii="Arial" w:hAnsi="Arial" w:cs="Arial"/>
          <w:sz w:val="24"/>
          <w:szCs w:val="24"/>
        </w:rPr>
      </w:pPr>
      <w:r w:rsidRPr="003A4C01">
        <w:rPr>
          <w:rFonts w:ascii="Arial" w:hAnsi="Arial" w:cs="Arial"/>
          <w:sz w:val="24"/>
          <w:szCs w:val="24"/>
        </w:rPr>
        <w:t>Por lo tanto, la fórmula de cálculo del indicador es:</w:t>
      </w:r>
    </w:p>
    <w:p w:rsidR="0003317A" w:rsidRPr="003A4C01" w:rsidRDefault="0003317A" w:rsidP="0003317A">
      <w:pPr>
        <w:spacing w:after="0"/>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278"/>
      </w:tblGrid>
      <w:tr w:rsidR="0003317A" w:rsidRPr="00FB4AFC" w:rsidTr="00305C14">
        <w:trPr>
          <w:jc w:val="center"/>
        </w:trPr>
        <w:tc>
          <w:tcPr>
            <w:tcW w:w="0" w:type="auto"/>
            <w:vAlign w:val="center"/>
          </w:tcPr>
          <w:p w:rsidR="0003317A" w:rsidRPr="00FB4AFC" w:rsidRDefault="0003317A" w:rsidP="00305C14">
            <w:pPr>
              <w:spacing w:after="0"/>
              <w:jc w:val="center"/>
              <w:rPr>
                <w:rFonts w:ascii="Arial" w:hAnsi="Arial" w:cs="Arial"/>
                <w:sz w:val="24"/>
                <w:szCs w:val="24"/>
              </w:rPr>
            </w:pPr>
            <w:r>
              <w:rPr>
                <w:rFonts w:ascii="Arial" w:hAnsi="Arial" w:cs="Arial"/>
                <w:sz w:val="24"/>
                <w:szCs w:val="24"/>
              </w:rPr>
              <w:t>ITCanarias= VC</w:t>
            </w:r>
            <w:r w:rsidRPr="003A4C01">
              <w:rPr>
                <w:rFonts w:ascii="Arial" w:hAnsi="Arial" w:cs="Arial"/>
                <w:sz w:val="24"/>
                <w:szCs w:val="24"/>
              </w:rPr>
              <w:t xml:space="preserve"> + VE + CPT</w:t>
            </w:r>
          </w:p>
        </w:tc>
      </w:tr>
    </w:tbl>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 xml:space="preserve">El análisis de los enlaces respondidos (VE) ha consistido en verificar que </w:t>
      </w:r>
      <w:r>
        <w:rPr>
          <w:rFonts w:ascii="Arial" w:hAnsi="Arial" w:cs="Arial"/>
          <w:b/>
          <w:sz w:val="24"/>
          <w:szCs w:val="24"/>
        </w:rPr>
        <w:t>toda</w:t>
      </w:r>
      <w:r w:rsidRPr="00ED4EB6">
        <w:rPr>
          <w:rFonts w:ascii="Arial" w:hAnsi="Arial" w:cs="Arial"/>
          <w:b/>
          <w:sz w:val="24"/>
          <w:szCs w:val="24"/>
        </w:rPr>
        <w:t>s</w:t>
      </w:r>
      <w:r>
        <w:rPr>
          <w:rFonts w:ascii="Arial" w:hAnsi="Arial" w:cs="Arial"/>
          <w:sz w:val="24"/>
          <w:szCs w:val="24"/>
        </w:rPr>
        <w:t xml:space="preserve"> las URLs de los portales de transparencia, páginas web y sedes electrónicas remitidos en las fichas Excel de publicidad activa funcionan y que, además, contienen la información de publicación obligatoria correspondiente a la subcategoría de la información que exige la LTAIP. La segunda comprobación (CPT) ha consistido en verificar únicamente </w:t>
      </w:r>
      <w:r w:rsidRPr="00083DFD">
        <w:rPr>
          <w:rFonts w:ascii="Arial" w:hAnsi="Arial" w:cs="Arial"/>
          <w:sz w:val="24"/>
          <w:szCs w:val="24"/>
        </w:rPr>
        <w:t>que</w:t>
      </w:r>
      <w:r>
        <w:rPr>
          <w:rFonts w:ascii="Arial" w:hAnsi="Arial" w:cs="Arial"/>
          <w:sz w:val="24"/>
          <w:szCs w:val="24"/>
        </w:rPr>
        <w:t xml:space="preserve"> en los portales de transparencia se publica la totalidad de la información que obliga la Ley 12/2014, sin tener en cuenta las URLs de las fichas Excel remitidas, ni si la información se ubica en las páginas web o en las sedes electrónicas. Estas comprobaciones se hicieron en los meses de abril y mayo de 2017.</w:t>
      </w:r>
    </w:p>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Para estos dos procesos, se ha optado por dar el mismo valor a cada tipo de información, ya que la Ley 12/2014 no establece una ponderación diferente para cada tipo, categoría o subcategoría de la información a publicar. Los tipos de información son los que corresponden con los artículos del 17 al 33 de la Ley 12/2014 de Transparencia de Canarias (LTAIP).</w:t>
      </w:r>
    </w:p>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 xml:space="preserve">De este modo, se ha calculado el porcentaje de cada tipo de información, dividiendo uno entre el total, esto es, 16 para los ayuntamientos y cabildos, 17 para la Comunidad Autónoma y 9 para las universidades públicas canarias. Este porcentaje, a su vez, se ha dividido entre el número de categorías correspondientes a cada tipo de información. Por ejemplo, el tipo de información “1. Institucional” se distribuye en tres categorías, salvo para las universidades; por lo que se ha dividido el porcentaje obtenido en el paso </w:t>
      </w:r>
      <w:r>
        <w:rPr>
          <w:rFonts w:ascii="Arial" w:hAnsi="Arial" w:cs="Arial"/>
          <w:sz w:val="24"/>
          <w:szCs w:val="24"/>
        </w:rPr>
        <w:lastRenderedPageBreak/>
        <w:t>anterior entre tres. Por último, se ha procedido del mismo modo para obtener el porcentaje correspondiente a cada subcategoría de la información.</w:t>
      </w:r>
    </w:p>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 xml:space="preserve">Todas las respuestas Excel han sido tratadas de esta manera. Sin embargo, los portales de transparencia no se han analizado con el mismo nivel de exigencia para todos los sujetos obligados, debido a la diferencia de capacidad de medios tecnológicos y personales de las administraciones públicas. </w:t>
      </w:r>
    </w:p>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 xml:space="preserve">Atendiendo a los diferentes niveles de desglose informativo contemplados en la ley canaria, el portal de transparencia de la Comunidad Autónoma, realizado por el Gobierno de Canarias, y los de las universidades se han analizado teniendo en cuenta los tipos, las categorías y las subcategorías de la información; es decir los tres niveles de su estructura. Lo portales de los cabildos y los ayuntamientos de más de 20.000 habitantes se han analizado teniendo en cuenta dos niveles, los tipos y las categoría de la información. Y, por último, los portales de los ayuntamientos de menos de 20.000 habitantes se han analizado teniendo en cuenta únicamente en cuenta el tipo de información. </w:t>
      </w:r>
    </w:p>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Se destaca que, en el caso de los cabildos y de los ayuntamientos de más de 20.000 habitantes, una categoría se entiende completa si al menos hay un ítem de información correspondiente publicado. Del mismo modo, en el caso de los ayuntamientos de menos de 20.000 habitantes, un tipo de información se entiende completo si al menos un ítem de información correspondiente está publicado. Progresivamente, cada año, se va concretando un mayor nivel de exigencia a las instituciones y sujetos obligados.</w:t>
      </w:r>
    </w:p>
    <w:p w:rsidR="0003317A" w:rsidRDefault="0003317A" w:rsidP="0003317A">
      <w:pPr>
        <w:spacing w:after="0"/>
        <w:jc w:val="both"/>
        <w:rPr>
          <w:rFonts w:ascii="Arial" w:hAnsi="Arial" w:cs="Arial"/>
          <w:sz w:val="24"/>
          <w:szCs w:val="24"/>
        </w:rPr>
      </w:pPr>
    </w:p>
    <w:p w:rsidR="0003317A" w:rsidRDefault="0003317A" w:rsidP="0003317A">
      <w:pPr>
        <w:spacing w:after="0"/>
        <w:jc w:val="both"/>
        <w:rPr>
          <w:rFonts w:ascii="Arial" w:hAnsi="Arial" w:cs="Arial"/>
          <w:sz w:val="24"/>
          <w:szCs w:val="24"/>
        </w:rPr>
      </w:pPr>
      <w:r>
        <w:rPr>
          <w:rFonts w:ascii="Arial" w:hAnsi="Arial" w:cs="Arial"/>
          <w:sz w:val="24"/>
          <w:szCs w:val="24"/>
        </w:rPr>
        <w:t xml:space="preserve">Así, cada tipo de información correspondiente a la Comunidad Autónoma puede tener un porcentaje máximo de 5,88%; los correspondientes a los cabildos y a los ayuntamientos, de 6,25%; y los de las universidades, un porcentaje máximo de 11,11%. Los valores totales se obtienen sumando los porcentajes de las subcategorías o categorías que estén completas. </w:t>
      </w:r>
    </w:p>
    <w:p w:rsidR="0003317A" w:rsidRDefault="0003317A" w:rsidP="0003317A">
      <w:pPr>
        <w:spacing w:after="0"/>
        <w:jc w:val="both"/>
        <w:rPr>
          <w:rFonts w:ascii="Arial" w:hAnsi="Arial" w:cs="Arial"/>
          <w:sz w:val="24"/>
          <w:szCs w:val="24"/>
        </w:rPr>
      </w:pPr>
    </w:p>
    <w:p w:rsidR="0003317A" w:rsidRPr="00CC3DE8" w:rsidRDefault="0003317A" w:rsidP="0003317A">
      <w:pPr>
        <w:spacing w:after="0"/>
        <w:jc w:val="both"/>
        <w:rPr>
          <w:rFonts w:ascii="Arial" w:hAnsi="Arial" w:cs="Arial"/>
          <w:sz w:val="24"/>
          <w:szCs w:val="24"/>
          <w:highlight w:val="magenta"/>
        </w:rPr>
      </w:pPr>
      <w:r w:rsidRPr="00CC3DE8">
        <w:rPr>
          <w:rFonts w:ascii="Arial" w:hAnsi="Arial" w:cs="Arial"/>
          <w:sz w:val="24"/>
          <w:szCs w:val="24"/>
        </w:rPr>
        <w:t>Como se dijo al principio de este apartado y es necesario reiterar, los resultados que mostramos a continuación son un primer</w:t>
      </w:r>
      <w:r>
        <w:rPr>
          <w:rFonts w:ascii="Arial" w:hAnsi="Arial" w:cs="Arial"/>
          <w:sz w:val="24"/>
          <w:szCs w:val="24"/>
        </w:rPr>
        <w:t xml:space="preserve"> Í</w:t>
      </w:r>
      <w:r w:rsidRPr="00CC3DE8">
        <w:rPr>
          <w:rFonts w:ascii="Arial" w:hAnsi="Arial" w:cs="Arial"/>
          <w:sz w:val="24"/>
          <w:szCs w:val="24"/>
        </w:rPr>
        <w:t>ndice</w:t>
      </w:r>
      <w:r>
        <w:rPr>
          <w:rFonts w:ascii="Arial" w:hAnsi="Arial" w:cs="Arial"/>
          <w:sz w:val="24"/>
          <w:szCs w:val="24"/>
        </w:rPr>
        <w:t xml:space="preserve"> de T</w:t>
      </w:r>
      <w:r w:rsidRPr="00CC3DE8">
        <w:rPr>
          <w:rFonts w:ascii="Arial" w:hAnsi="Arial" w:cs="Arial"/>
          <w:sz w:val="24"/>
          <w:szCs w:val="24"/>
        </w:rPr>
        <w:t>ransparencia</w:t>
      </w:r>
      <w:r>
        <w:rPr>
          <w:rFonts w:ascii="Arial" w:hAnsi="Arial" w:cs="Arial"/>
          <w:sz w:val="24"/>
          <w:szCs w:val="24"/>
        </w:rPr>
        <w:t xml:space="preserve"> de Canarias</w:t>
      </w:r>
      <w:r w:rsidRPr="00CC3DE8">
        <w:rPr>
          <w:rFonts w:ascii="Arial" w:hAnsi="Arial" w:cs="Arial"/>
          <w:sz w:val="24"/>
          <w:szCs w:val="24"/>
        </w:rPr>
        <w:t xml:space="preserve">, </w:t>
      </w:r>
      <w:r>
        <w:rPr>
          <w:rFonts w:ascii="Arial" w:hAnsi="Arial" w:cs="Arial"/>
          <w:sz w:val="24"/>
          <w:szCs w:val="24"/>
        </w:rPr>
        <w:t>con</w:t>
      </w:r>
      <w:r w:rsidRPr="00CC3DE8">
        <w:rPr>
          <w:rFonts w:ascii="Arial" w:hAnsi="Arial" w:cs="Arial"/>
          <w:sz w:val="24"/>
          <w:szCs w:val="24"/>
        </w:rPr>
        <w:t xml:space="preserve"> margen de mejora en posteriores ejercicios. Es de utilidad como una primera </w:t>
      </w:r>
      <w:r>
        <w:rPr>
          <w:rFonts w:ascii="Arial" w:hAnsi="Arial" w:cs="Arial"/>
          <w:sz w:val="24"/>
          <w:szCs w:val="24"/>
        </w:rPr>
        <w:t>aproximación que sirva para con</w:t>
      </w:r>
      <w:r w:rsidRPr="00CC3DE8">
        <w:rPr>
          <w:rFonts w:ascii="Arial" w:hAnsi="Arial" w:cs="Arial"/>
          <w:sz w:val="24"/>
          <w:szCs w:val="24"/>
        </w:rPr>
        <w:t>trastar opiniones con los sujetos obligados y con las entidades relacionadas con la transparencia</w:t>
      </w:r>
      <w:r>
        <w:rPr>
          <w:rFonts w:ascii="Arial" w:hAnsi="Arial" w:cs="Arial"/>
          <w:sz w:val="24"/>
          <w:szCs w:val="24"/>
        </w:rPr>
        <w:t xml:space="preserve">, </w:t>
      </w:r>
      <w:r w:rsidRPr="00CC3DE8">
        <w:rPr>
          <w:rFonts w:ascii="Arial" w:hAnsi="Arial" w:cs="Arial"/>
          <w:sz w:val="24"/>
          <w:szCs w:val="24"/>
        </w:rPr>
        <w:t xml:space="preserve">hasta que se logre el objetivo deseado de una metodología de evaluación oficial y homogénea en todo el país, como podrá llegar a ser </w:t>
      </w:r>
      <w:r>
        <w:rPr>
          <w:rFonts w:ascii="Arial" w:hAnsi="Arial" w:cs="Arial"/>
          <w:sz w:val="24"/>
          <w:szCs w:val="24"/>
        </w:rPr>
        <w:t>MESTA.</w:t>
      </w:r>
    </w:p>
    <w:p w:rsidR="0003317A" w:rsidRDefault="0003317A" w:rsidP="0003317A">
      <w:pPr>
        <w:spacing w:after="0"/>
        <w:jc w:val="both"/>
        <w:rPr>
          <w:rFonts w:ascii="Arial" w:hAnsi="Arial" w:cs="Arial"/>
          <w:sz w:val="24"/>
          <w:szCs w:val="24"/>
        </w:rPr>
      </w:pPr>
    </w:p>
    <w:p w:rsidR="007A6F98" w:rsidRDefault="0003317A" w:rsidP="007A6F98">
      <w:pPr>
        <w:spacing w:after="0"/>
        <w:jc w:val="both"/>
        <w:rPr>
          <w:rFonts w:ascii="Arial" w:hAnsi="Arial" w:cs="Arial"/>
          <w:sz w:val="24"/>
          <w:szCs w:val="24"/>
        </w:rPr>
      </w:pPr>
      <w:r>
        <w:rPr>
          <w:rFonts w:ascii="Arial" w:hAnsi="Arial" w:cs="Arial"/>
          <w:sz w:val="24"/>
          <w:szCs w:val="24"/>
        </w:rPr>
        <w:lastRenderedPageBreak/>
        <w:t>En general, se observa en los cuadros que vienen a continuación que los análisis de los portales de transparencia tienen una puntuación mayor que la comprobación de las respuestas enviadas a este Comisionado. Esto sucede porque algunos enlaces no están correctamente direccionados, no funcionan o la información que contienen no se corresponde con la información requerida. Esta ha sido una de las conclusiones más sorprendentes del análisis: viene a significar que muchos enlaces no fueron revisados antes de ser remitidos al Comisionado de Transparencia.</w:t>
      </w:r>
    </w:p>
    <w:sectPr w:rsidR="007A6F98" w:rsidSect="006B3E9C">
      <w:headerReference w:type="default" r:id="rId7"/>
      <w:footerReference w:type="default" r:id="rId8"/>
      <w:pgSz w:w="11906" w:h="16838" w:code="9"/>
      <w:pgMar w:top="1418" w:right="1701" w:bottom="1418"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8A" w:rsidRDefault="00D42B8A" w:rsidP="00C442D5">
      <w:pPr>
        <w:spacing w:after="0" w:line="240" w:lineRule="auto"/>
      </w:pPr>
      <w:r>
        <w:separator/>
      </w:r>
    </w:p>
  </w:endnote>
  <w:endnote w:type="continuationSeparator" w:id="0">
    <w:p w:rsidR="00D42B8A" w:rsidRDefault="00D42B8A" w:rsidP="00C44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496657"/>
      <w:docPartObj>
        <w:docPartGallery w:val="Page Numbers (Bottom of Page)"/>
        <w:docPartUnique/>
      </w:docPartObj>
    </w:sdtPr>
    <w:sdtContent>
      <w:p w:rsidR="00D42B8A" w:rsidRDefault="008212B9">
        <w:pPr>
          <w:pStyle w:val="Piedepgina"/>
          <w:jc w:val="right"/>
        </w:pPr>
        <w:fldSimple w:instr=" PAGE   \* MERGEFORMAT ">
          <w:r w:rsidR="006B3E9C">
            <w:rPr>
              <w:noProof/>
            </w:rPr>
            <w:t>8</w:t>
          </w:r>
        </w:fldSimple>
      </w:p>
    </w:sdtContent>
  </w:sdt>
  <w:p w:rsidR="00D42B8A" w:rsidRDefault="00D42B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8A" w:rsidRDefault="00D42B8A" w:rsidP="00C442D5">
      <w:pPr>
        <w:spacing w:after="0" w:line="240" w:lineRule="auto"/>
      </w:pPr>
      <w:r>
        <w:separator/>
      </w:r>
    </w:p>
  </w:footnote>
  <w:footnote w:type="continuationSeparator" w:id="0">
    <w:p w:rsidR="00D42B8A" w:rsidRDefault="00D42B8A" w:rsidP="00C44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9C" w:rsidRDefault="006B3E9C" w:rsidP="006B3E9C">
    <w:pPr>
      <w:pStyle w:val="Encabezado"/>
      <w:ind w:left="-1701"/>
    </w:pPr>
    <w:r w:rsidRPr="006B3E9C">
      <w:drawing>
        <wp:inline distT="0" distB="0" distL="0" distR="0">
          <wp:extent cx="2794959" cy="1397479"/>
          <wp:effectExtent l="0" t="0" r="0" b="0"/>
          <wp:docPr id="1" name="Imagen 1" descr="C:\Users\jmvazquez\AppData\Local\Microsoft\Windows\INetCache\Content.Outlook\SU4XSD5Z\CTRANS MARCA 2 1-01 FT.png"/>
          <wp:cNvGraphicFramePr/>
          <a:graphic xmlns:a="http://schemas.openxmlformats.org/drawingml/2006/main">
            <a:graphicData uri="http://schemas.openxmlformats.org/drawingml/2006/picture">
              <pic:pic xmlns:pic="http://schemas.openxmlformats.org/drawingml/2006/picture">
                <pic:nvPicPr>
                  <pic:cNvPr id="0" name="Picture 1" descr="C:\Users\jmvazquez\AppData\Local\Microsoft\Windows\INetCache\Content.Outlook\SU4XSD5Z\CTRANS MARCA 2 1-01 FT.png"/>
                  <pic:cNvPicPr>
                    <a:picLocks noChangeAspect="1" noChangeArrowheads="1"/>
                  </pic:cNvPicPr>
                </pic:nvPicPr>
                <pic:blipFill>
                  <a:blip r:embed="rId1"/>
                  <a:srcRect/>
                  <a:stretch>
                    <a:fillRect/>
                  </a:stretch>
                </pic:blipFill>
                <pic:spPr bwMode="auto">
                  <a:xfrm>
                    <a:off x="0" y="0"/>
                    <a:ext cx="2794959" cy="139747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4679"/>
    <w:multiLevelType w:val="multilevel"/>
    <w:tmpl w:val="B6845F3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nsid w:val="73514620"/>
    <w:multiLevelType w:val="multilevel"/>
    <w:tmpl w:val="F280DE1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A83349"/>
    <w:rsid w:val="00020DB1"/>
    <w:rsid w:val="0003317A"/>
    <w:rsid w:val="00113B2B"/>
    <w:rsid w:val="00283D3E"/>
    <w:rsid w:val="00305C14"/>
    <w:rsid w:val="004B6E8B"/>
    <w:rsid w:val="006B3E9C"/>
    <w:rsid w:val="00702E70"/>
    <w:rsid w:val="00731304"/>
    <w:rsid w:val="007A6F98"/>
    <w:rsid w:val="008212B9"/>
    <w:rsid w:val="00827797"/>
    <w:rsid w:val="009B7018"/>
    <w:rsid w:val="009C0E82"/>
    <w:rsid w:val="00A83349"/>
    <w:rsid w:val="00B93489"/>
    <w:rsid w:val="00C442D5"/>
    <w:rsid w:val="00C57F6D"/>
    <w:rsid w:val="00D42B8A"/>
    <w:rsid w:val="00E124C8"/>
    <w:rsid w:val="00EB3192"/>
    <w:rsid w:val="00F02166"/>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4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A83349"/>
    <w:pPr>
      <w:spacing w:line="240" w:lineRule="auto"/>
    </w:pPr>
    <w:rPr>
      <w:b/>
      <w:bCs/>
      <w:color w:val="4F81BD" w:themeColor="accent1"/>
      <w:sz w:val="18"/>
      <w:szCs w:val="18"/>
    </w:rPr>
  </w:style>
  <w:style w:type="paragraph" w:styleId="Encabezado">
    <w:name w:val="header"/>
    <w:basedOn w:val="Normal"/>
    <w:link w:val="EncabezadoCar"/>
    <w:uiPriority w:val="99"/>
    <w:semiHidden/>
    <w:unhideWhenUsed/>
    <w:rsid w:val="00C442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442D5"/>
    <w:rPr>
      <w:lang w:val="es-ES"/>
    </w:rPr>
  </w:style>
  <w:style w:type="paragraph" w:styleId="Piedepgina">
    <w:name w:val="footer"/>
    <w:basedOn w:val="Normal"/>
    <w:link w:val="PiedepginaCar"/>
    <w:uiPriority w:val="99"/>
    <w:unhideWhenUsed/>
    <w:rsid w:val="00C442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2D5"/>
    <w:rPr>
      <w:lang w:val="es-ES"/>
    </w:rPr>
  </w:style>
  <w:style w:type="paragraph" w:styleId="Prrafodelista">
    <w:name w:val="List Paragraph"/>
    <w:basedOn w:val="Normal"/>
    <w:link w:val="PrrafodelistaCar"/>
    <w:uiPriority w:val="34"/>
    <w:qFormat/>
    <w:rsid w:val="0003317A"/>
    <w:pPr>
      <w:ind w:left="720"/>
      <w:contextualSpacing/>
    </w:pPr>
  </w:style>
  <w:style w:type="character" w:customStyle="1" w:styleId="PrrafodelistaCar">
    <w:name w:val="Párrafo de lista Car"/>
    <w:basedOn w:val="Fuentedeprrafopredeter"/>
    <w:link w:val="Prrafodelista"/>
    <w:uiPriority w:val="34"/>
    <w:qFormat/>
    <w:locked/>
    <w:rsid w:val="0003317A"/>
    <w:rPr>
      <w:lang w:val="es-ES"/>
    </w:rPr>
  </w:style>
  <w:style w:type="paragraph" w:styleId="Textodeglobo">
    <w:name w:val="Balloon Text"/>
    <w:basedOn w:val="Normal"/>
    <w:link w:val="TextodegloboCar"/>
    <w:uiPriority w:val="99"/>
    <w:semiHidden/>
    <w:unhideWhenUsed/>
    <w:rsid w:val="006B3E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E9C"/>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6855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2355</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jmvazquez</dc:creator>
  <cp:lastModifiedBy>jmvazquez</cp:lastModifiedBy>
  <cp:revision>3</cp:revision>
  <dcterms:created xsi:type="dcterms:W3CDTF">2017-07-05T13:18:00Z</dcterms:created>
  <dcterms:modified xsi:type="dcterms:W3CDTF">2017-07-05T13:59:00Z</dcterms:modified>
</cp:coreProperties>
</file>